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jc w:val="center"/>
        <w:rPr>
          <w:b/>
          <w:bCs/>
          <w:color w:val="auto"/>
          <w:sz w:val="36"/>
          <w:szCs w:val="36"/>
          <w:highlight w:val="none"/>
        </w:rPr>
      </w:pPr>
      <w:bookmarkStart w:id="0" w:name="_top"/>
      <w:bookmarkEnd w:id="0"/>
      <w:bookmarkStart w:id="1" w:name="_Toc31794"/>
      <w:bookmarkStart w:id="2" w:name="_Toc274932875"/>
      <w:bookmarkStart w:id="3" w:name="_Toc356220090"/>
      <w:r>
        <w:rPr>
          <w:rFonts w:hint="eastAsia"/>
          <w:b/>
          <w:bCs/>
          <w:color w:val="auto"/>
          <w:sz w:val="36"/>
          <w:szCs w:val="36"/>
          <w:highlight w:val="none"/>
        </w:rPr>
        <w:t>第二节施工组织设计及专项方案要求</w:t>
      </w:r>
      <w:bookmarkEnd w:id="1"/>
    </w:p>
    <w:p>
      <w:pPr>
        <w:pStyle w:val="26"/>
        <w:spacing w:before="156" w:after="156" w:line="360" w:lineRule="auto"/>
        <w:ind w:firstLine="422" w:firstLineChars="200"/>
        <w:rPr>
          <w:rFonts w:hAnsi="宋体"/>
          <w:b/>
          <w:color w:val="auto"/>
          <w:sz w:val="21"/>
          <w:szCs w:val="21"/>
          <w:highlight w:val="none"/>
        </w:rPr>
      </w:pPr>
      <w:r>
        <w:rPr>
          <w:rFonts w:hint="eastAsia" w:hAnsi="宋体"/>
          <w:b/>
          <w:color w:val="auto"/>
          <w:sz w:val="21"/>
          <w:szCs w:val="21"/>
          <w:highlight w:val="none"/>
        </w:rPr>
        <w:t>本章第一节</w:t>
      </w:r>
      <w:r>
        <w:rPr>
          <w:rFonts w:hAnsi="宋体"/>
          <w:b/>
          <w:color w:val="auto"/>
          <w:sz w:val="21"/>
          <w:szCs w:val="21"/>
          <w:highlight w:val="none"/>
        </w:rPr>
        <w:t>施工条件及</w:t>
      </w:r>
      <w:r>
        <w:rPr>
          <w:rFonts w:hint="eastAsia" w:hAnsi="宋体"/>
          <w:b/>
          <w:color w:val="auto"/>
          <w:sz w:val="21"/>
          <w:szCs w:val="21"/>
          <w:highlight w:val="none"/>
        </w:rPr>
        <w:t>本章第二节</w:t>
      </w:r>
      <w:r>
        <w:rPr>
          <w:rFonts w:hAnsi="宋体"/>
          <w:b/>
          <w:color w:val="auto"/>
          <w:sz w:val="21"/>
          <w:szCs w:val="21"/>
          <w:highlight w:val="none"/>
        </w:rPr>
        <w:t>施工</w:t>
      </w:r>
      <w:r>
        <w:rPr>
          <w:rFonts w:hint="eastAsia" w:hAnsi="宋体"/>
          <w:b/>
          <w:color w:val="auto"/>
          <w:sz w:val="21"/>
          <w:szCs w:val="21"/>
          <w:highlight w:val="none"/>
        </w:rPr>
        <w:t>专项</w:t>
      </w:r>
      <w:r>
        <w:rPr>
          <w:rFonts w:hAnsi="宋体"/>
          <w:b/>
          <w:color w:val="auto"/>
          <w:sz w:val="21"/>
          <w:szCs w:val="21"/>
          <w:highlight w:val="none"/>
        </w:rPr>
        <w:t>方案的某些具体要求，</w:t>
      </w:r>
      <w:r>
        <w:rPr>
          <w:rFonts w:hint="eastAsia" w:hAnsi="宋体"/>
          <w:b/>
          <w:color w:val="auto"/>
          <w:sz w:val="21"/>
          <w:szCs w:val="21"/>
          <w:highlight w:val="none"/>
        </w:rPr>
        <w:t>是招标人</w:t>
      </w:r>
      <w:r>
        <w:rPr>
          <w:rFonts w:hAnsi="宋体"/>
          <w:b/>
          <w:color w:val="auto"/>
          <w:sz w:val="21"/>
          <w:szCs w:val="21"/>
          <w:highlight w:val="none"/>
        </w:rPr>
        <w:t>根据本工程的特点而提出的施工限制条件</w:t>
      </w:r>
      <w:r>
        <w:rPr>
          <w:rFonts w:hint="eastAsia" w:hAnsi="宋体"/>
          <w:b/>
          <w:color w:val="auto"/>
          <w:sz w:val="21"/>
          <w:szCs w:val="21"/>
          <w:highlight w:val="none"/>
        </w:rPr>
        <w:t>或要求，投标人</w:t>
      </w:r>
      <w:r>
        <w:rPr>
          <w:rFonts w:hAnsi="宋体"/>
          <w:b/>
          <w:color w:val="auto"/>
          <w:sz w:val="21"/>
          <w:szCs w:val="21"/>
          <w:highlight w:val="none"/>
        </w:rPr>
        <w:t>的施工方案必须符合这些条件或响应这些要求并且结合本工程的特点提出相应的技术措施</w:t>
      </w:r>
      <w:r>
        <w:rPr>
          <w:rFonts w:hint="eastAsia" w:hAnsi="宋体"/>
          <w:b/>
          <w:color w:val="auto"/>
          <w:sz w:val="21"/>
          <w:szCs w:val="21"/>
          <w:highlight w:val="none"/>
        </w:rPr>
        <w:t>，</w:t>
      </w:r>
      <w:r>
        <w:rPr>
          <w:rFonts w:hAnsi="宋体"/>
          <w:b/>
          <w:color w:val="auto"/>
          <w:sz w:val="21"/>
          <w:szCs w:val="21"/>
          <w:highlight w:val="none"/>
        </w:rPr>
        <w:t>这些条件或要求为：</w:t>
      </w:r>
    </w:p>
    <w:p>
      <w:pPr>
        <w:pStyle w:val="714"/>
        <w:numPr>
          <w:ilvl w:val="0"/>
          <w:numId w:val="7"/>
        </w:numPr>
        <w:spacing w:line="360" w:lineRule="auto"/>
        <w:ind w:firstLineChars="0"/>
        <w:outlineLvl w:val="1"/>
        <w:rPr>
          <w:rFonts w:ascii="宋体" w:hAnsi="宋体"/>
          <w:color w:val="auto"/>
          <w:szCs w:val="21"/>
          <w:highlight w:val="none"/>
        </w:rPr>
      </w:pPr>
      <w:r>
        <w:rPr>
          <w:rFonts w:ascii="宋体" w:hAnsi="宋体"/>
          <w:b/>
          <w:color w:val="auto"/>
          <w:szCs w:val="21"/>
          <w:highlight w:val="none"/>
        </w:rPr>
        <w:t>场地平面布置</w:t>
      </w:r>
      <w:r>
        <w:rPr>
          <w:rFonts w:hint="eastAsia" w:ascii="宋体" w:hAnsi="宋体"/>
          <w:b/>
          <w:color w:val="auto"/>
          <w:szCs w:val="21"/>
          <w:highlight w:val="none"/>
        </w:rPr>
        <w:t>要求</w:t>
      </w:r>
    </w:p>
    <w:p>
      <w:pPr>
        <w:pStyle w:val="714"/>
        <w:spacing w:line="480" w:lineRule="exact"/>
        <w:ind w:firstLineChars="0"/>
        <w:rPr>
          <w:rFonts w:ascii="宋体" w:hAnsi="宋体"/>
          <w:b/>
          <w:bCs/>
          <w:color w:val="auto"/>
          <w:highlight w:val="none"/>
        </w:rPr>
      </w:pPr>
      <w:r>
        <w:rPr>
          <w:rFonts w:hint="eastAsia" w:ascii="宋体" w:hAnsi="宋体"/>
          <w:color w:val="auto"/>
          <w:highlight w:val="none"/>
          <w:u w:val="single"/>
        </w:rPr>
        <w:t>分期及施工部署平面示意图</w:t>
      </w:r>
      <w:r>
        <w:rPr>
          <w:rFonts w:hint="eastAsia" w:ascii="宋体" w:hAnsi="宋体"/>
          <w:color w:val="auto"/>
          <w:highlight w:val="none"/>
        </w:rPr>
        <w:t>:（本次招标范围为南地块一标）</w:t>
      </w:r>
    </w:p>
    <w:p>
      <w:pPr>
        <w:jc w:val="center"/>
        <w:rPr>
          <w:rFonts w:ascii="宋体" w:hAnsi="宋体"/>
          <w:b/>
          <w:color w:val="auto"/>
          <w:szCs w:val="21"/>
          <w:highlight w:val="none"/>
        </w:rPr>
      </w:pPr>
      <w:r>
        <w:rPr>
          <w:color w:val="auto"/>
          <w:highlight w:val="none"/>
        </w:rPr>
        <w:drawing>
          <wp:inline distT="0" distB="0" distL="0" distR="0">
            <wp:extent cx="4572000" cy="3867150"/>
            <wp:effectExtent l="0" t="0" r="0" b="0"/>
            <wp:docPr id="787021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021008"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572000" cy="3867150"/>
                    </a:xfrm>
                    <a:prstGeom prst="rect">
                      <a:avLst/>
                    </a:prstGeom>
                    <a:noFill/>
                    <a:ln>
                      <a:noFill/>
                    </a:ln>
                  </pic:spPr>
                </pic:pic>
              </a:graphicData>
            </a:graphic>
          </wp:inline>
        </w:drawing>
      </w:r>
    </w:p>
    <w:p>
      <w:pPr>
        <w:numPr>
          <w:ilvl w:val="1"/>
          <w:numId w:val="8"/>
        </w:numPr>
        <w:spacing w:line="360" w:lineRule="auto"/>
        <w:rPr>
          <w:rFonts w:ascii="宋体" w:hAnsi="宋体"/>
          <w:color w:val="auto"/>
          <w:szCs w:val="21"/>
          <w:highlight w:val="none"/>
        </w:rPr>
      </w:pPr>
      <w:r>
        <w:rPr>
          <w:rFonts w:ascii="宋体" w:hAnsi="宋体"/>
          <w:color w:val="auto"/>
          <w:szCs w:val="21"/>
          <w:highlight w:val="none"/>
        </w:rPr>
        <w:drawing>
          <wp:anchor distT="0" distB="0" distL="114300" distR="114300" simplePos="0" relativeHeight="251659264" behindDoc="0" locked="0" layoutInCell="1" allowOverlap="1">
            <wp:simplePos x="0" y="0"/>
            <wp:positionH relativeFrom="column">
              <wp:posOffset>-5608320</wp:posOffset>
            </wp:positionH>
            <wp:positionV relativeFrom="paragraph">
              <wp:posOffset>118110</wp:posOffset>
            </wp:positionV>
            <wp:extent cx="4791075" cy="3638550"/>
            <wp:effectExtent l="0" t="0" r="9525" b="6350"/>
            <wp:wrapNone/>
            <wp:docPr id="8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
                    <pic:cNvPicPr>
                      <a:picLocks noChangeAspect="1" noChangeArrowheads="1"/>
                    </pic:cNvPicPr>
                  </pic:nvPicPr>
                  <pic:blipFill>
                    <a:blip r:embed="rId11"/>
                    <a:srcRect/>
                    <a:stretch>
                      <a:fillRect/>
                    </a:stretch>
                  </pic:blipFill>
                  <pic:spPr>
                    <a:xfrm>
                      <a:off x="0" y="0"/>
                      <a:ext cx="4791075" cy="3638550"/>
                    </a:xfrm>
                    <a:prstGeom prst="rect">
                      <a:avLst/>
                    </a:prstGeom>
                    <a:noFill/>
                    <a:ln w="9525">
                      <a:noFill/>
                      <a:miter lim="800000"/>
                      <a:headEnd/>
                      <a:tailEnd/>
                    </a:ln>
                  </pic:spPr>
                </pic:pic>
              </a:graphicData>
            </a:graphic>
          </wp:anchor>
        </w:drawing>
      </w:r>
      <w:r>
        <w:rPr>
          <w:rFonts w:ascii="宋体" w:hAnsi="宋体"/>
          <w:color w:val="auto"/>
          <w:szCs w:val="21"/>
          <w:highlight w:val="none"/>
        </w:rPr>
        <w:t>施工围墙和出入口:</w:t>
      </w:r>
      <w:r>
        <w:rPr>
          <w:rFonts w:ascii="宋体" w:hAnsi="宋体"/>
          <w:bCs/>
          <w:color w:val="auto"/>
          <w:szCs w:val="21"/>
          <w:highlight w:val="none"/>
        </w:rPr>
        <w:t>投标人</w:t>
      </w:r>
      <w:r>
        <w:rPr>
          <w:rFonts w:hint="eastAsia" w:ascii="宋体" w:hAnsi="宋体"/>
          <w:bCs/>
          <w:color w:val="auto"/>
          <w:szCs w:val="21"/>
          <w:highlight w:val="none"/>
        </w:rPr>
        <w:t>需</w:t>
      </w:r>
      <w:r>
        <w:rPr>
          <w:rFonts w:ascii="宋体" w:hAnsi="宋体"/>
          <w:bCs/>
          <w:color w:val="auto"/>
          <w:szCs w:val="21"/>
          <w:highlight w:val="none"/>
        </w:rPr>
        <w:t>自行踏勘现场</w:t>
      </w:r>
      <w:r>
        <w:rPr>
          <w:rFonts w:hint="eastAsia" w:ascii="宋体" w:hAnsi="宋体"/>
          <w:bCs/>
          <w:color w:val="auto"/>
          <w:szCs w:val="21"/>
          <w:highlight w:val="none"/>
        </w:rPr>
        <w:t>，</w:t>
      </w:r>
      <w:r>
        <w:rPr>
          <w:rFonts w:ascii="宋体" w:hAnsi="宋体"/>
          <w:bCs/>
          <w:color w:val="auto"/>
          <w:szCs w:val="21"/>
          <w:highlight w:val="none"/>
        </w:rPr>
        <w:t>进</w:t>
      </w:r>
      <w:r>
        <w:rPr>
          <w:rFonts w:hint="eastAsia" w:ascii="宋体" w:hAnsi="宋体"/>
          <w:bCs/>
          <w:color w:val="auto"/>
          <w:szCs w:val="21"/>
          <w:highlight w:val="none"/>
        </w:rPr>
        <w:t>入</w:t>
      </w:r>
      <w:r>
        <w:rPr>
          <w:rFonts w:ascii="宋体" w:hAnsi="宋体"/>
          <w:bCs/>
          <w:color w:val="auto"/>
          <w:szCs w:val="21"/>
          <w:highlight w:val="none"/>
        </w:rPr>
        <w:t>场地的施工道路为现有钢便桥</w:t>
      </w:r>
      <w:r>
        <w:rPr>
          <w:rFonts w:hint="eastAsia" w:ascii="宋体" w:hAnsi="宋体"/>
          <w:bCs/>
          <w:color w:val="auto"/>
          <w:szCs w:val="21"/>
          <w:highlight w:val="none"/>
        </w:rPr>
        <w:t>，</w:t>
      </w:r>
      <w:r>
        <w:rPr>
          <w:rFonts w:ascii="宋体" w:hAnsi="宋体"/>
          <w:bCs/>
          <w:color w:val="auto"/>
          <w:szCs w:val="21"/>
          <w:highlight w:val="none"/>
        </w:rPr>
        <w:t>投标人自行协调现有场地单位钢便桥的正常使用并承担相关围护</w:t>
      </w:r>
      <w:r>
        <w:rPr>
          <w:rFonts w:hint="eastAsia" w:ascii="宋体" w:hAnsi="宋体"/>
          <w:bCs/>
          <w:color w:val="auto"/>
          <w:szCs w:val="21"/>
          <w:highlight w:val="none"/>
        </w:rPr>
        <w:t>，</w:t>
      </w:r>
      <w:r>
        <w:rPr>
          <w:rFonts w:ascii="宋体" w:hAnsi="宋体"/>
          <w:bCs/>
          <w:color w:val="auto"/>
          <w:szCs w:val="21"/>
          <w:highlight w:val="none"/>
        </w:rPr>
        <w:t>确保项目的开发顺利进行</w:t>
      </w:r>
      <w:r>
        <w:rPr>
          <w:rFonts w:hint="eastAsia" w:ascii="宋体" w:hAnsi="宋体"/>
          <w:bCs/>
          <w:color w:val="auto"/>
          <w:szCs w:val="21"/>
          <w:highlight w:val="none"/>
        </w:rPr>
        <w:t>，相关费用在报价中综合考虑。施工围墙即本次施工范围内地块北侧用地红线的围蔽，场内围挡、定型化布置等由承包人自行考虑并承担相关费用。若在项目实施过程需要增加临时出入口，则由承包人自行负责办理施工路口开通审批手续，并自行设置施工洗车槽，集水井等文明施工措施，新开出入口的具体位置需征得建设单位和监理同意方可实施</w:t>
      </w:r>
      <w:r>
        <w:rPr>
          <w:rFonts w:hint="eastAsia" w:ascii="宋体" w:hAnsi="宋体"/>
          <w:color w:val="auto"/>
          <w:szCs w:val="21"/>
          <w:highlight w:val="none"/>
        </w:rPr>
        <w:t>。</w:t>
      </w:r>
    </w:p>
    <w:p>
      <w:pPr>
        <w:numPr>
          <w:ilvl w:val="1"/>
          <w:numId w:val="8"/>
        </w:numPr>
        <w:spacing w:line="360" w:lineRule="auto"/>
        <w:rPr>
          <w:rFonts w:ascii="宋体" w:hAnsi="宋体"/>
          <w:color w:val="auto"/>
          <w:szCs w:val="21"/>
          <w:highlight w:val="none"/>
        </w:rPr>
      </w:pPr>
      <w:r>
        <w:rPr>
          <w:rFonts w:hint="eastAsia" w:ascii="宋体" w:hAnsi="宋体"/>
          <w:color w:val="auto"/>
          <w:szCs w:val="21"/>
          <w:highlight w:val="none"/>
          <w:u w:val="single"/>
        </w:rPr>
        <w:t>场地使用要求</w:t>
      </w:r>
      <w:r>
        <w:rPr>
          <w:rFonts w:hint="eastAsia" w:ascii="宋体" w:hAnsi="宋体"/>
          <w:color w:val="auto"/>
          <w:szCs w:val="21"/>
          <w:highlight w:val="none"/>
        </w:rPr>
        <w:t>：</w:t>
      </w:r>
      <w:r>
        <w:rPr>
          <w:rFonts w:hint="eastAsia" w:ascii="宋体" w:hAnsi="宋体"/>
          <w:color w:val="auto"/>
          <w:highlight w:val="none"/>
        </w:rPr>
        <w:t>红线内不提供承包人生活区及办公区，</w:t>
      </w:r>
      <w:r>
        <w:rPr>
          <w:rFonts w:hint="eastAsia" w:ascii="宋体" w:hAnsi="宋体"/>
          <w:color w:val="auto"/>
          <w:szCs w:val="21"/>
          <w:highlight w:val="none"/>
        </w:rPr>
        <w:t>中选人入场后，</w:t>
      </w:r>
      <w:r>
        <w:rPr>
          <w:rFonts w:hint="eastAsia" w:ascii="宋体" w:hAnsi="宋体"/>
          <w:color w:val="auto"/>
          <w:highlight w:val="none"/>
        </w:rPr>
        <w:t>生产用临时设施场地位置由承包人合理规划后上报发包人、</w:t>
      </w:r>
      <w:r>
        <w:rPr>
          <w:rFonts w:hint="eastAsia" w:ascii="宋体" w:hAnsi="宋体"/>
          <w:color w:val="auto"/>
          <w:szCs w:val="21"/>
          <w:highlight w:val="none"/>
        </w:rPr>
        <w:t>监理单位报审施工平面布置图（包括临设布置），应按广州市建筑工程现场文明施工管理暂行规定及图纸要求布置本工程的临时设施（包含现场办公室、宿舍、农民工业余学校、厨厕等）</w:t>
      </w:r>
      <w:r>
        <w:rPr>
          <w:rFonts w:ascii="宋体" w:hAnsi="宋体"/>
          <w:color w:val="auto"/>
          <w:szCs w:val="21"/>
          <w:highlight w:val="none"/>
        </w:rPr>
        <w:t>。</w:t>
      </w:r>
      <w:r>
        <w:rPr>
          <w:rFonts w:hint="eastAsia" w:ascii="宋体" w:hAnsi="宋体"/>
          <w:color w:val="auto"/>
          <w:szCs w:val="21"/>
          <w:highlight w:val="none"/>
        </w:rPr>
        <w:t>整个施工期间需要实施围蔽管理，达到领取施工许可证要求，并做好安全文明管理工作。</w:t>
      </w:r>
      <w:r>
        <w:rPr>
          <w:rFonts w:hint="eastAsia" w:ascii="宋体" w:hAnsi="宋体"/>
          <w:color w:val="auto"/>
          <w:highlight w:val="none"/>
        </w:rPr>
        <w:t>污水排放需达到政府要求，否则承担政府罚款等相应责任。</w:t>
      </w:r>
      <w:r>
        <w:rPr>
          <w:rFonts w:hint="eastAsia" w:ascii="宋体" w:hAnsi="宋体"/>
          <w:color w:val="auto"/>
          <w:szCs w:val="21"/>
          <w:highlight w:val="none"/>
        </w:rPr>
        <w:t>承包人需负责大地块红线范围的场地照管工作。发包人不保证现场场地完全满足生产用临时设施搭设需求，如场地不满足需求时承包人须在场地范围外自行解决并承担费用，相关费用在报价中综合考虑。</w:t>
      </w:r>
    </w:p>
    <w:p>
      <w:pPr>
        <w:numPr>
          <w:ilvl w:val="1"/>
          <w:numId w:val="8"/>
        </w:numPr>
        <w:spacing w:line="360" w:lineRule="auto"/>
        <w:rPr>
          <w:rFonts w:ascii="宋体" w:hAnsi="宋体"/>
          <w:color w:val="auto"/>
          <w:szCs w:val="21"/>
          <w:highlight w:val="none"/>
        </w:rPr>
      </w:pPr>
      <w:r>
        <w:rPr>
          <w:rFonts w:hint="eastAsia" w:ascii="宋体" w:hAnsi="宋体"/>
          <w:color w:val="auto"/>
          <w:szCs w:val="21"/>
          <w:highlight w:val="none"/>
          <w:u w:val="single"/>
        </w:rPr>
        <w:t>施工通道</w:t>
      </w:r>
      <w:r>
        <w:rPr>
          <w:rFonts w:hint="eastAsia" w:ascii="宋体" w:hAnsi="宋体"/>
          <w:color w:val="auto"/>
          <w:szCs w:val="21"/>
          <w:highlight w:val="none"/>
        </w:rPr>
        <w:t>：</w:t>
      </w:r>
    </w:p>
    <w:p>
      <w:pPr>
        <w:autoSpaceDE w:val="0"/>
        <w:autoSpaceDN w:val="0"/>
        <w:adjustRightInd w:val="0"/>
        <w:spacing w:line="360" w:lineRule="auto"/>
        <w:ind w:firstLine="315" w:firstLineChars="150"/>
        <w:jc w:val="left"/>
        <w:rPr>
          <w:rFonts w:ascii="宋体" w:hAnsi="宋体"/>
          <w:color w:val="auto"/>
          <w:szCs w:val="21"/>
          <w:highlight w:val="none"/>
        </w:rPr>
      </w:pPr>
      <w:r>
        <w:rPr>
          <w:rFonts w:hint="eastAsia" w:ascii="宋体" w:hAnsi="宋体"/>
          <w:color w:val="auto"/>
          <w:highlight w:val="none"/>
        </w:rPr>
        <w:t>红线外施工道路复杂，仅有地块西北侧钢便桥可进入施工工地，中标人须自行协调场地内现有单位，确保施工道路通畅</w:t>
      </w:r>
      <w:r>
        <w:rPr>
          <w:rFonts w:hint="eastAsia"/>
          <w:color w:val="auto"/>
          <w:szCs w:val="21"/>
          <w:highlight w:val="none"/>
        </w:rPr>
        <w:t>。</w:t>
      </w:r>
    </w:p>
    <w:p>
      <w:pPr>
        <w:numPr>
          <w:ilvl w:val="1"/>
          <w:numId w:val="8"/>
        </w:numPr>
        <w:spacing w:line="360" w:lineRule="auto"/>
        <w:jc w:val="left"/>
        <w:rPr>
          <w:rFonts w:ascii="宋体" w:hAnsi="宋体" w:cs="仿宋"/>
          <w:bCs/>
          <w:color w:val="auto"/>
          <w:kern w:val="0"/>
          <w:szCs w:val="21"/>
          <w:highlight w:val="none"/>
        </w:rPr>
      </w:pPr>
      <w:r>
        <w:rPr>
          <w:rFonts w:ascii="宋体" w:hAnsi="宋体" w:cs="仿宋"/>
          <w:bCs/>
          <w:color w:val="auto"/>
          <w:kern w:val="0"/>
          <w:szCs w:val="21"/>
          <w:highlight w:val="none"/>
        </w:rPr>
        <w:t>场地使用要求：</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ascii="宋体" w:hAnsi="宋体" w:cs="仿宋"/>
          <w:bCs/>
          <w:color w:val="auto"/>
          <w:kern w:val="0"/>
          <w:szCs w:val="21"/>
          <w:highlight w:val="none"/>
        </w:rPr>
        <w:t>所有进出场车辆冲洗，包括分包车辆且不得向其收取任何费用，负责整个施工区域、生活及办公区内的清洁卫生，</w:t>
      </w:r>
      <w:r>
        <w:rPr>
          <w:rFonts w:hint="eastAsia" w:ascii="宋体" w:hAnsi="宋体" w:cs="仿宋"/>
          <w:color w:val="auto"/>
          <w:kern w:val="0"/>
          <w:szCs w:val="22"/>
          <w:highlight w:val="none"/>
        </w:rPr>
        <w:t>同时负责红线外施工道路与其他施工单位共同承担</w:t>
      </w:r>
      <w:r>
        <w:rPr>
          <w:rFonts w:ascii="宋体" w:hAnsi="宋体" w:cs="仿宋"/>
          <w:color w:val="auto"/>
          <w:kern w:val="0"/>
          <w:szCs w:val="22"/>
          <w:highlight w:val="none"/>
        </w:rPr>
        <w:t>维护及清扫费用</w:t>
      </w:r>
      <w:r>
        <w:rPr>
          <w:rFonts w:ascii="宋体" w:hAnsi="宋体" w:cs="仿宋"/>
          <w:bCs/>
          <w:color w:val="auto"/>
          <w:kern w:val="0"/>
          <w:szCs w:val="21"/>
          <w:highlight w:val="none"/>
        </w:rPr>
        <w:t>。</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bCs/>
          <w:color w:val="auto"/>
          <w:kern w:val="0"/>
          <w:szCs w:val="21"/>
          <w:highlight w:val="none"/>
        </w:rPr>
        <w:t>需要在围墙范围内设定垃圾堆放地点并砌筑垃圾池，并负责场内所有垃圾从此处外运及消纳（直至规划验收）；要求分包单位负责将其施工产生的垃圾堆放至指定地点，总包负责清理外运及消纳。</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结合现场情况，分阶段（地下室施工、主体结构施工、销售、精装修施工）规划布置施工总平面。不同施工阶段因施工需要须进行施工场地布置调整时（包含施工加工场地、办公室、临时设施等搬迁），必须配合调整，且费用包含在总报价中。</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color w:val="auto"/>
          <w:kern w:val="0"/>
          <w:highlight w:val="none"/>
        </w:rPr>
        <w:t>门口往里3米设置下沉100的C30砼洗车槽，洗车槽尺寸为6米×8米（宽×长），双侧设置冲洗高压水枪。大门口设250宽截水沟，洗车槽设三级沉淀池，经过三级沉淀后才能排入市政管网，上述设置还需要符合广州市及海珠区相关部门对文明施工的要</w:t>
      </w:r>
      <w:r>
        <w:rPr>
          <w:rFonts w:hint="eastAsia" w:ascii="宋体" w:hAnsi="宋体" w:cs="仿宋"/>
          <w:bCs/>
          <w:color w:val="auto"/>
          <w:kern w:val="0"/>
          <w:szCs w:val="21"/>
          <w:highlight w:val="none"/>
        </w:rPr>
        <w:t>。</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施工现场实行全封闭管理，要求工地大门必须设置翼闸，由保安</w:t>
      </w:r>
      <w:r>
        <w:rPr>
          <w:rFonts w:ascii="宋体" w:hAnsi="宋体" w:cs="仿宋"/>
          <w:bCs/>
          <w:color w:val="auto"/>
          <w:kern w:val="0"/>
          <w:szCs w:val="21"/>
          <w:highlight w:val="none"/>
        </w:rPr>
        <w:t>24</w:t>
      </w:r>
      <w:r>
        <w:rPr>
          <w:rFonts w:hint="eastAsia" w:ascii="宋体" w:hAnsi="宋体" w:cs="仿宋"/>
          <w:bCs/>
          <w:color w:val="auto"/>
          <w:kern w:val="0"/>
          <w:szCs w:val="21"/>
          <w:highlight w:val="none"/>
        </w:rPr>
        <w:t>小时值班，所有人出入佩戴平安卡并打卡出入，晚上和午休期间，总包应有巡逻人员对场地进行监控。</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Bold"/>
          <w:color w:val="auto"/>
          <w:kern w:val="0"/>
          <w:highlight w:val="none"/>
        </w:rPr>
        <w:t>红线内道路需要保证施工道路顺畅和负责维修。</w:t>
      </w:r>
      <w:r>
        <w:rPr>
          <w:rFonts w:hint="eastAsia" w:ascii="宋体" w:hAnsi="宋体" w:cs="仿宋"/>
          <w:bCs/>
          <w:color w:val="auto"/>
          <w:kern w:val="0"/>
          <w:szCs w:val="21"/>
          <w:highlight w:val="none"/>
        </w:rPr>
        <w:t>场地外侧道路日常清洁工作由承包人负责，保证道路干净、不积水、畅通。</w:t>
      </w:r>
    </w:p>
    <w:p>
      <w:pPr>
        <w:numPr>
          <w:ilvl w:val="0"/>
          <w:numId w:val="9"/>
        </w:numPr>
        <w:tabs>
          <w:tab w:val="left" w:pos="840"/>
        </w:tabs>
        <w:autoSpaceDE w:val="0"/>
        <w:autoSpaceDN w:val="0"/>
        <w:adjustRightInd w:val="0"/>
        <w:spacing w:line="360" w:lineRule="auto"/>
        <w:ind w:left="840" w:hanging="420"/>
        <w:jc w:val="left"/>
        <w:rPr>
          <w:rFonts w:ascii="宋体" w:hAnsi="宋体" w:cs="FangSong,Bold"/>
          <w:bCs/>
          <w:color w:val="auto"/>
          <w:kern w:val="0"/>
          <w:szCs w:val="21"/>
          <w:highlight w:val="none"/>
        </w:rPr>
      </w:pPr>
      <w:r>
        <w:rPr>
          <w:rFonts w:hint="eastAsia" w:ascii="宋体" w:hAnsi="宋体" w:cs="仿宋"/>
          <w:bCs/>
          <w:color w:val="auto"/>
          <w:kern w:val="0"/>
          <w:szCs w:val="21"/>
          <w:highlight w:val="none"/>
        </w:rPr>
        <w:t>材料堆场、材料加工场等必须进行砼硬地化并规划组织排水，包括</w:t>
      </w:r>
      <w:r>
        <w:rPr>
          <w:rFonts w:hint="eastAsia" w:ascii="宋体" w:hAnsi="宋体" w:cs="FangSong,Bold"/>
          <w:bCs/>
          <w:color w:val="auto"/>
          <w:kern w:val="0"/>
          <w:szCs w:val="21"/>
          <w:highlight w:val="none"/>
        </w:rPr>
        <w:t>地库外围回填后的场地也必须硬地化。</w:t>
      </w:r>
      <w:r>
        <w:rPr>
          <w:rFonts w:hint="eastAsia" w:ascii="宋体" w:hAnsi="宋体" w:cs="仿宋"/>
          <w:bCs/>
          <w:color w:val="auto"/>
          <w:kern w:val="0"/>
          <w:szCs w:val="21"/>
          <w:highlight w:val="none"/>
        </w:rPr>
        <w:t>具体要求如下：</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A:钢筋加工场硬地化不少于C20</w:t>
      </w:r>
      <w:r>
        <w:rPr>
          <w:rFonts w:hint="eastAsia" w:ascii="宋体" w:hAnsi="宋体" w:cs="仿宋"/>
          <w:bCs/>
          <w:color w:val="auto"/>
          <w:kern w:val="0"/>
          <w:szCs w:val="21"/>
          <w:highlight w:val="none"/>
        </w:rPr>
        <w:t>砼</w:t>
      </w:r>
      <w:r>
        <w:rPr>
          <w:rFonts w:ascii="宋体" w:hAnsi="宋体" w:cs="仿宋"/>
          <w:bCs/>
          <w:color w:val="auto"/>
          <w:kern w:val="0"/>
          <w:szCs w:val="21"/>
          <w:highlight w:val="none"/>
        </w:rPr>
        <w:t>100</w:t>
      </w:r>
      <w:r>
        <w:rPr>
          <w:rFonts w:hint="eastAsia" w:ascii="宋体" w:hAnsi="宋体" w:cs="仿宋"/>
          <w:bCs/>
          <w:color w:val="auto"/>
          <w:kern w:val="0"/>
          <w:szCs w:val="21"/>
          <w:highlight w:val="none"/>
        </w:rPr>
        <w:t>厚。</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B:材料堆放场及其他场地硬地化不少于C20</w:t>
      </w:r>
      <w:r>
        <w:rPr>
          <w:rFonts w:hint="eastAsia" w:ascii="宋体" w:hAnsi="宋体" w:cs="仿宋"/>
          <w:bCs/>
          <w:color w:val="auto"/>
          <w:kern w:val="0"/>
          <w:szCs w:val="21"/>
          <w:highlight w:val="none"/>
        </w:rPr>
        <w:t>砼</w:t>
      </w:r>
      <w:r>
        <w:rPr>
          <w:rFonts w:ascii="宋体" w:hAnsi="宋体" w:cs="仿宋"/>
          <w:bCs/>
          <w:color w:val="auto"/>
          <w:kern w:val="0"/>
          <w:szCs w:val="21"/>
          <w:highlight w:val="none"/>
        </w:rPr>
        <w:t>100</w:t>
      </w:r>
      <w:r>
        <w:rPr>
          <w:rFonts w:hint="eastAsia" w:ascii="宋体" w:hAnsi="宋体" w:cs="仿宋"/>
          <w:bCs/>
          <w:color w:val="auto"/>
          <w:kern w:val="0"/>
          <w:szCs w:val="21"/>
          <w:highlight w:val="none"/>
        </w:rPr>
        <w:t>厚。</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本项目钢筋加工场地设置参看总平面布置。具体要求如下：</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A:加工场设置双层安全防护棚，调直区设置安全防护栏杆。</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B:成品钢筋按使用部位分类堆放并挂牌标识。</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C:砌筑堆放废钢筋池，废钢筋不得置于池外。</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D:需要在地库上方设置钢筋加工场时，必须对结构进行加强。</w:t>
      </w:r>
    </w:p>
    <w:p>
      <w:pPr>
        <w:numPr>
          <w:ilvl w:val="0"/>
          <w:numId w:val="9"/>
        </w:numPr>
        <w:tabs>
          <w:tab w:val="left" w:pos="840"/>
        </w:tabs>
        <w:autoSpaceDE w:val="0"/>
        <w:autoSpaceDN w:val="0"/>
        <w:adjustRightInd w:val="0"/>
        <w:spacing w:line="360" w:lineRule="auto"/>
        <w:ind w:left="840" w:hanging="420"/>
        <w:jc w:val="left"/>
        <w:rPr>
          <w:rFonts w:ascii="宋体" w:hAnsi="宋体" w:cs="FangSong,Bold"/>
          <w:bCs/>
          <w:color w:val="auto"/>
          <w:kern w:val="0"/>
          <w:szCs w:val="21"/>
          <w:highlight w:val="none"/>
        </w:rPr>
      </w:pPr>
      <w:r>
        <w:rPr>
          <w:rFonts w:hint="eastAsia" w:ascii="宋体" w:hAnsi="宋体" w:cs="FangSong,Bold"/>
          <w:bCs/>
          <w:color w:val="auto"/>
          <w:kern w:val="0"/>
          <w:szCs w:val="21"/>
          <w:highlight w:val="none"/>
        </w:rPr>
        <w:t>若因特殊原因，需要考虑地下室顶板封闭后钢筋加工场迁移1次，</w:t>
      </w:r>
      <w:r>
        <w:rPr>
          <w:rFonts w:hint="eastAsia" w:ascii="宋体" w:hAnsi="宋体" w:cs="Bold"/>
          <w:color w:val="auto"/>
          <w:kern w:val="0"/>
          <w:highlight w:val="none"/>
        </w:rPr>
        <w:t>相关费用在报价中综合考虑</w:t>
      </w:r>
      <w:r>
        <w:rPr>
          <w:rFonts w:hint="eastAsia" w:ascii="宋体" w:hAnsi="宋体" w:cs="FangSong,Bold"/>
          <w:bCs/>
          <w:color w:val="auto"/>
          <w:kern w:val="0"/>
          <w:szCs w:val="21"/>
          <w:highlight w:val="none"/>
        </w:rPr>
        <w:t>。</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bCs/>
          <w:color w:val="auto"/>
          <w:kern w:val="0"/>
          <w:szCs w:val="21"/>
          <w:highlight w:val="none"/>
        </w:rPr>
        <w:t>进场后需负责整个施工区、办公区范围内所有地面排水工作，具体包含但不限于以下几个方面：</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A:接收并维护现有场内排水设施，不能满足要求时需进行重新完善，包括基坑周边排水沟、洗车槽、洗车池，基坑内排水沟、集水井。基坑内集水井由基坑支护单位移交后，负责抽水泵安装。</w:t>
      </w:r>
    </w:p>
    <w:p>
      <w:pPr>
        <w:pStyle w:val="135"/>
        <w:autoSpaceDE w:val="0"/>
        <w:autoSpaceDN w:val="0"/>
        <w:adjustRightInd w:val="0"/>
        <w:spacing w:line="360" w:lineRule="auto"/>
        <w:ind w:left="424" w:leftChars="202"/>
        <w:jc w:val="left"/>
        <w:rPr>
          <w:rFonts w:ascii="宋体" w:hAnsi="宋体" w:cs="FangSong,Bold"/>
          <w:bCs/>
          <w:color w:val="auto"/>
          <w:kern w:val="0"/>
          <w:szCs w:val="21"/>
          <w:highlight w:val="none"/>
        </w:rPr>
      </w:pPr>
      <w:r>
        <w:rPr>
          <w:rFonts w:ascii="宋体" w:hAnsi="宋体" w:cs="仿宋"/>
          <w:bCs/>
          <w:color w:val="auto"/>
          <w:kern w:val="0"/>
          <w:szCs w:val="21"/>
          <w:highlight w:val="none"/>
        </w:rPr>
        <w:t>B:</w:t>
      </w:r>
      <w:r>
        <w:rPr>
          <w:rFonts w:hint="eastAsia" w:ascii="宋体" w:hAnsi="宋体" w:cs="FangSong,Bold"/>
          <w:bCs/>
          <w:color w:val="auto"/>
          <w:kern w:val="0"/>
          <w:szCs w:val="21"/>
          <w:highlight w:val="none"/>
        </w:rPr>
        <w:t>底板垫层施工前在地下室底板后浇带处设置下沉</w:t>
      </w:r>
      <w:r>
        <w:rPr>
          <w:rFonts w:ascii="宋体" w:hAnsi="宋体" w:cs="FangSong,Bold"/>
          <w:bCs/>
          <w:color w:val="auto"/>
          <w:kern w:val="0"/>
          <w:szCs w:val="21"/>
          <w:highlight w:val="none"/>
        </w:rPr>
        <w:t xml:space="preserve">200 </w:t>
      </w:r>
      <w:r>
        <w:rPr>
          <w:rFonts w:hint="eastAsia" w:ascii="宋体" w:hAnsi="宋体" w:cs="FangSong,Bold"/>
          <w:bCs/>
          <w:color w:val="auto"/>
          <w:kern w:val="0"/>
          <w:szCs w:val="21"/>
          <w:highlight w:val="none"/>
        </w:rPr>
        <w:t>排水沟，与基坑周边排水沟连通后由集水井统一抽排出基坑外。</w:t>
      </w:r>
    </w:p>
    <w:p>
      <w:pPr>
        <w:pStyle w:val="135"/>
        <w:autoSpaceDE w:val="0"/>
        <w:autoSpaceDN w:val="0"/>
        <w:adjustRightInd w:val="0"/>
        <w:spacing w:line="360" w:lineRule="auto"/>
        <w:ind w:left="424" w:leftChars="202"/>
        <w:jc w:val="left"/>
        <w:rPr>
          <w:rFonts w:ascii="宋体" w:hAnsi="宋体" w:cs="仿宋"/>
          <w:bCs/>
          <w:color w:val="auto"/>
          <w:kern w:val="0"/>
          <w:szCs w:val="21"/>
          <w:highlight w:val="none"/>
        </w:rPr>
      </w:pPr>
      <w:r>
        <w:rPr>
          <w:rFonts w:ascii="宋体" w:hAnsi="宋体" w:cs="仿宋"/>
          <w:bCs/>
          <w:color w:val="auto"/>
          <w:kern w:val="0"/>
          <w:szCs w:val="21"/>
          <w:highlight w:val="none"/>
        </w:rPr>
        <w:t>C:距离基坑顶边</w:t>
      </w:r>
      <w:r>
        <w:rPr>
          <w:rFonts w:hint="eastAsia" w:ascii="宋体" w:hAnsi="宋体" w:cs="FangSong,Bold"/>
          <w:bCs/>
          <w:color w:val="auto"/>
          <w:kern w:val="0"/>
          <w:szCs w:val="21"/>
          <w:highlight w:val="none"/>
        </w:rPr>
        <w:t>外侧</w:t>
      </w:r>
      <w:r>
        <w:rPr>
          <w:rFonts w:ascii="宋体" w:hAnsi="宋体" w:cs="仿宋"/>
          <w:bCs/>
          <w:color w:val="auto"/>
          <w:kern w:val="0"/>
          <w:szCs w:val="21"/>
          <w:highlight w:val="none"/>
        </w:rPr>
        <w:t>800</w:t>
      </w:r>
      <w:r>
        <w:rPr>
          <w:rFonts w:hint="eastAsia" w:ascii="宋体" w:hAnsi="宋体" w:cs="仿宋"/>
          <w:bCs/>
          <w:color w:val="auto"/>
          <w:kern w:val="0"/>
          <w:szCs w:val="21"/>
          <w:highlight w:val="none"/>
        </w:rPr>
        <w:t>处设置截面</w:t>
      </w:r>
      <w:r>
        <w:rPr>
          <w:rFonts w:ascii="宋体" w:hAnsi="宋体" w:cs="仿宋"/>
          <w:bCs/>
          <w:color w:val="auto"/>
          <w:kern w:val="0"/>
          <w:szCs w:val="21"/>
          <w:highlight w:val="none"/>
        </w:rPr>
        <w:t>300</w:t>
      </w:r>
      <w:r>
        <w:rPr>
          <w:rFonts w:hint="eastAsia" w:ascii="宋体" w:hAnsi="宋体" w:cs="仿宋"/>
          <w:bCs/>
          <w:color w:val="auto"/>
          <w:kern w:val="0"/>
          <w:szCs w:val="21"/>
          <w:highlight w:val="none"/>
        </w:rPr>
        <w:t>×</w:t>
      </w:r>
      <w:r>
        <w:rPr>
          <w:rFonts w:ascii="宋体" w:hAnsi="宋体" w:cs="仿宋"/>
          <w:bCs/>
          <w:color w:val="auto"/>
          <w:kern w:val="0"/>
          <w:szCs w:val="21"/>
          <w:highlight w:val="none"/>
        </w:rPr>
        <w:t>300</w:t>
      </w:r>
      <w:r>
        <w:rPr>
          <w:rFonts w:hint="eastAsia" w:ascii="宋体" w:hAnsi="宋体" w:cs="仿宋"/>
          <w:bCs/>
          <w:color w:val="auto"/>
          <w:kern w:val="0"/>
          <w:szCs w:val="21"/>
          <w:highlight w:val="none"/>
        </w:rPr>
        <w:t>砖砌排水明沟，明沟需抹平水泥砂浆并压光，每隔</w:t>
      </w:r>
      <w:r>
        <w:rPr>
          <w:rFonts w:ascii="宋体" w:hAnsi="宋体" w:cs="仿宋"/>
          <w:bCs/>
          <w:color w:val="auto"/>
          <w:kern w:val="0"/>
          <w:szCs w:val="21"/>
          <w:highlight w:val="none"/>
        </w:rPr>
        <w:t xml:space="preserve">25--30m </w:t>
      </w:r>
      <w:r>
        <w:rPr>
          <w:rFonts w:hint="eastAsia" w:ascii="宋体" w:hAnsi="宋体" w:cs="仿宋"/>
          <w:bCs/>
          <w:color w:val="auto"/>
          <w:kern w:val="0"/>
          <w:szCs w:val="21"/>
          <w:highlight w:val="none"/>
        </w:rPr>
        <w:t>设置</w:t>
      </w:r>
      <w:r>
        <w:rPr>
          <w:rFonts w:ascii="宋体" w:hAnsi="宋体" w:cs="仿宋"/>
          <w:bCs/>
          <w:color w:val="auto"/>
          <w:kern w:val="0"/>
          <w:szCs w:val="21"/>
          <w:highlight w:val="none"/>
        </w:rPr>
        <w:t>600</w:t>
      </w:r>
      <w:r>
        <w:rPr>
          <w:rFonts w:hint="eastAsia" w:ascii="宋体" w:hAnsi="宋体" w:cs="仿宋"/>
          <w:bCs/>
          <w:color w:val="auto"/>
          <w:kern w:val="0"/>
          <w:szCs w:val="21"/>
          <w:highlight w:val="none"/>
        </w:rPr>
        <w:t>×</w:t>
      </w:r>
      <w:r>
        <w:rPr>
          <w:rFonts w:ascii="宋体" w:hAnsi="宋体" w:cs="仿宋"/>
          <w:bCs/>
          <w:color w:val="auto"/>
          <w:kern w:val="0"/>
          <w:szCs w:val="21"/>
          <w:highlight w:val="none"/>
        </w:rPr>
        <w:t>600</w:t>
      </w:r>
      <w:r>
        <w:rPr>
          <w:rFonts w:hint="eastAsia" w:ascii="宋体" w:hAnsi="宋体" w:cs="仿宋"/>
          <w:bCs/>
          <w:color w:val="auto"/>
          <w:kern w:val="0"/>
          <w:szCs w:val="21"/>
          <w:highlight w:val="none"/>
        </w:rPr>
        <w:t>×</w:t>
      </w:r>
      <w:r>
        <w:rPr>
          <w:rFonts w:ascii="宋体" w:hAnsi="宋体" w:cs="仿宋"/>
          <w:bCs/>
          <w:color w:val="auto"/>
          <w:kern w:val="0"/>
          <w:szCs w:val="21"/>
          <w:highlight w:val="none"/>
        </w:rPr>
        <w:t xml:space="preserve">600 </w:t>
      </w:r>
      <w:r>
        <w:rPr>
          <w:rFonts w:hint="eastAsia" w:ascii="宋体" w:hAnsi="宋体" w:cs="仿宋"/>
          <w:bCs/>
          <w:color w:val="auto"/>
          <w:kern w:val="0"/>
          <w:szCs w:val="21"/>
          <w:highlight w:val="none"/>
        </w:rPr>
        <w:t>集水井连通。</w:t>
      </w:r>
      <w:r>
        <w:rPr>
          <w:rFonts w:hint="eastAsia"/>
          <w:color w:val="auto"/>
          <w:highlight w:val="none"/>
        </w:rPr>
        <w:t>最终以图纸为准。</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在土方回填及市政施工前，必须重新规划布置现场临时道路、施工水电、各单位施工材料临时堆场等，该项工作内容要求施工前15 </w:t>
      </w:r>
      <w:r>
        <w:rPr>
          <w:rFonts w:hint="eastAsia" w:ascii="宋体" w:hAnsi="宋体" w:cs="仿宋"/>
          <w:bCs/>
          <w:color w:val="auto"/>
          <w:kern w:val="0"/>
          <w:szCs w:val="21"/>
          <w:highlight w:val="none"/>
        </w:rPr>
        <w:t>天上报专项方案给发包人项目部。</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color w:val="auto"/>
          <w:highlight w:val="none"/>
        </w:rPr>
        <w:t>本工程存在场地分批移交的情况，承包人需根据发包人的进场指令工作量对应配置人员、设备、材料（需经承包人、发包人、监理三方共同确认），其余未有进场指令的不得以场地未移交缘由提出索赔。若在施工过程存在赶工情况，赶工方案需经承包人、发包人、监理三方确认后方可实施，否则不予计算赶工费</w:t>
      </w:r>
      <w:r>
        <w:rPr>
          <w:rFonts w:ascii="宋体" w:hAnsi="宋体" w:cs="仿宋"/>
          <w:bCs/>
          <w:color w:val="auto"/>
          <w:kern w:val="0"/>
          <w:szCs w:val="21"/>
          <w:highlight w:val="none"/>
        </w:rPr>
        <w:t>。</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ascii="宋体" w:hAnsi="宋体" w:cs="仿宋"/>
          <w:bCs/>
          <w:color w:val="auto"/>
          <w:kern w:val="0"/>
          <w:szCs w:val="21"/>
          <w:highlight w:val="none"/>
        </w:rPr>
        <w:t>自每个片区接收工作面起，该片区积水等抽排由</w:t>
      </w:r>
      <w:r>
        <w:rPr>
          <w:rFonts w:hint="eastAsia" w:ascii="宋体" w:hAnsi="宋体" w:cs="仿宋"/>
          <w:bCs/>
          <w:color w:val="auto"/>
          <w:kern w:val="0"/>
          <w:szCs w:val="21"/>
          <w:highlight w:val="none"/>
        </w:rPr>
        <w:t>承包人</w:t>
      </w:r>
      <w:r>
        <w:rPr>
          <w:rFonts w:ascii="宋体" w:hAnsi="宋体" w:cs="仿宋"/>
          <w:bCs/>
          <w:color w:val="auto"/>
          <w:kern w:val="0"/>
          <w:szCs w:val="21"/>
          <w:highlight w:val="none"/>
        </w:rPr>
        <w:t>负责，</w:t>
      </w:r>
      <w:r>
        <w:rPr>
          <w:rFonts w:hint="eastAsia" w:ascii="宋体" w:hAnsi="宋体" w:cs="仿宋"/>
          <w:bCs/>
          <w:color w:val="auto"/>
          <w:kern w:val="0"/>
          <w:szCs w:val="21"/>
          <w:highlight w:val="none"/>
        </w:rPr>
        <w:t>承包人</w:t>
      </w:r>
      <w:r>
        <w:rPr>
          <w:rFonts w:ascii="宋体" w:hAnsi="宋体" w:cs="仿宋"/>
          <w:bCs/>
          <w:color w:val="auto"/>
          <w:kern w:val="0"/>
          <w:szCs w:val="21"/>
          <w:highlight w:val="none"/>
        </w:rPr>
        <w:t>有义务按</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项目部要求采取必要的维护基坑安全及施工安全的措施，包括但不限于给水管线、基坑、基坑四周防护栏杆、安全网的修补、坑内排水沟及集水井的修复、洗车槽及基坑碎石垫层的修复，或因出于安全考虑，</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要求增加的其它安全防护措施所用的材料及设备等。且上述费用已包括在合同总价中。</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w:t>
      </w:r>
      <w:r>
        <w:rPr>
          <w:rFonts w:ascii="宋体" w:hAnsi="宋体" w:cs="仿宋"/>
          <w:bCs/>
          <w:color w:val="auto"/>
          <w:kern w:val="0"/>
          <w:szCs w:val="21"/>
          <w:highlight w:val="none"/>
        </w:rPr>
        <w:t>在接收场地时须充分了解场地状况，并充分考虑土</w:t>
      </w:r>
      <w:r>
        <w:rPr>
          <w:rFonts w:hint="eastAsia" w:ascii="宋体" w:hAnsi="宋体" w:cs="仿宋"/>
          <w:bCs/>
          <w:color w:val="auto"/>
          <w:kern w:val="0"/>
          <w:szCs w:val="21"/>
          <w:highlight w:val="none"/>
        </w:rPr>
        <w:t>石</w:t>
      </w:r>
      <w:r>
        <w:rPr>
          <w:rFonts w:ascii="宋体" w:hAnsi="宋体" w:cs="仿宋"/>
          <w:bCs/>
          <w:color w:val="auto"/>
          <w:kern w:val="0"/>
          <w:szCs w:val="21"/>
          <w:highlight w:val="none"/>
        </w:rPr>
        <w:t>方开挖及转运工程量，包括但不限于开挖及外运现有场地标高至底板</w:t>
      </w:r>
      <w:r>
        <w:rPr>
          <w:rFonts w:hint="eastAsia" w:ascii="宋体" w:hAnsi="宋体" w:cs="仿宋"/>
          <w:bCs/>
          <w:color w:val="auto"/>
          <w:kern w:val="0"/>
          <w:szCs w:val="21"/>
          <w:highlight w:val="none"/>
        </w:rPr>
        <w:t>面</w:t>
      </w:r>
      <w:r>
        <w:rPr>
          <w:rFonts w:ascii="宋体" w:hAnsi="宋体" w:cs="仿宋"/>
          <w:bCs/>
          <w:color w:val="auto"/>
          <w:kern w:val="0"/>
          <w:szCs w:val="21"/>
          <w:highlight w:val="none"/>
        </w:rPr>
        <w:t>标高之土</w:t>
      </w:r>
      <w:r>
        <w:rPr>
          <w:rFonts w:hint="eastAsia" w:ascii="宋体" w:hAnsi="宋体" w:cs="仿宋"/>
          <w:bCs/>
          <w:color w:val="auto"/>
          <w:kern w:val="0"/>
          <w:szCs w:val="21"/>
          <w:highlight w:val="none"/>
        </w:rPr>
        <w:t>石</w:t>
      </w:r>
      <w:r>
        <w:rPr>
          <w:rFonts w:ascii="宋体" w:hAnsi="宋体" w:cs="仿宋"/>
          <w:bCs/>
          <w:color w:val="auto"/>
          <w:kern w:val="0"/>
          <w:szCs w:val="21"/>
          <w:highlight w:val="none"/>
        </w:rPr>
        <w:t>方</w:t>
      </w:r>
      <w:r>
        <w:rPr>
          <w:rFonts w:hint="eastAsia" w:ascii="宋体" w:hAnsi="宋体" w:cs="仿宋"/>
          <w:bCs/>
          <w:color w:val="auto"/>
          <w:kern w:val="0"/>
          <w:szCs w:val="21"/>
          <w:highlight w:val="none"/>
        </w:rPr>
        <w:t>及坡道</w:t>
      </w:r>
      <w:r>
        <w:rPr>
          <w:rFonts w:ascii="宋体" w:hAnsi="宋体" w:cs="仿宋"/>
          <w:bCs/>
          <w:color w:val="auto"/>
          <w:kern w:val="0"/>
          <w:szCs w:val="21"/>
          <w:highlight w:val="none"/>
        </w:rPr>
        <w:t>土</w:t>
      </w:r>
      <w:r>
        <w:rPr>
          <w:rFonts w:hint="eastAsia" w:ascii="宋体" w:hAnsi="宋体" w:cs="仿宋"/>
          <w:bCs/>
          <w:color w:val="auto"/>
          <w:kern w:val="0"/>
          <w:szCs w:val="21"/>
          <w:highlight w:val="none"/>
        </w:rPr>
        <w:t>石</w:t>
      </w:r>
      <w:r>
        <w:rPr>
          <w:rFonts w:ascii="宋体" w:hAnsi="宋体" w:cs="仿宋"/>
          <w:bCs/>
          <w:color w:val="auto"/>
          <w:kern w:val="0"/>
          <w:szCs w:val="21"/>
          <w:highlight w:val="none"/>
        </w:rPr>
        <w:t>方，拆除、拆迁及清理所有在工地上及未包括在本清单内的一切项目，如破除碎石、清理垃圾；将第三者遗留于工地内之任何废弃</w:t>
      </w:r>
      <w:r>
        <w:rPr>
          <w:rFonts w:hint="eastAsia" w:ascii="宋体" w:hAnsi="宋体" w:cs="仿宋"/>
          <w:bCs/>
          <w:color w:val="auto"/>
          <w:kern w:val="0"/>
          <w:szCs w:val="21"/>
          <w:highlight w:val="none"/>
        </w:rPr>
        <w:t>物等运出、在开工前之施工场地整理工作；了解基坑支护现状及止水、降水效果，</w:t>
      </w:r>
      <w:r>
        <w:rPr>
          <w:rFonts w:hint="eastAsia" w:ascii="宋体" w:hAnsi="宋体" w:cs="FangSong,Bold"/>
          <w:bCs/>
          <w:color w:val="auto"/>
          <w:kern w:val="0"/>
          <w:szCs w:val="21"/>
          <w:highlight w:val="none"/>
        </w:rPr>
        <w:t>要求总承包结合现场基坑及基础施工状况，提前插入布置抽排水措施，</w:t>
      </w:r>
      <w:r>
        <w:rPr>
          <w:rFonts w:hint="eastAsia" w:ascii="宋体" w:hAnsi="宋体" w:cs="仿宋"/>
          <w:bCs/>
          <w:color w:val="auto"/>
          <w:kern w:val="0"/>
          <w:szCs w:val="21"/>
          <w:highlight w:val="none"/>
        </w:rPr>
        <w:t>且此费用已经包含在投标总价中。并要求总承包方上报可行的降排水方案予发包人监理审批方可实施。</w:t>
      </w:r>
    </w:p>
    <w:p>
      <w:pPr>
        <w:numPr>
          <w:ilvl w:val="0"/>
          <w:numId w:val="9"/>
        </w:numPr>
        <w:tabs>
          <w:tab w:val="left" w:pos="840"/>
        </w:tabs>
        <w:autoSpaceDE w:val="0"/>
        <w:autoSpaceDN w:val="0"/>
        <w:adjustRightInd w:val="0"/>
        <w:spacing w:line="360" w:lineRule="auto"/>
        <w:ind w:left="840" w:hanging="420"/>
        <w:jc w:val="left"/>
        <w:rPr>
          <w:rFonts w:ascii="宋体" w:hAnsi="宋体" w:cs="仿宋"/>
          <w:bCs/>
          <w:color w:val="auto"/>
          <w:kern w:val="0"/>
          <w:szCs w:val="21"/>
          <w:highlight w:val="none"/>
        </w:rPr>
      </w:pPr>
      <w:r>
        <w:rPr>
          <w:rFonts w:hint="eastAsia" w:ascii="宋体" w:hAnsi="宋体" w:cs="仿宋"/>
          <w:color w:val="auto"/>
          <w:kern w:val="0"/>
          <w:highlight w:val="none"/>
        </w:rPr>
        <w:t>塔吊及双笼升降机布置按照招标人认可的施工总平图进行布置。承包人需踏勘施工现场，充分考虑各栋楼之间的施工道路布置，人货梯要求采用全新的机械，不得采用翻新机械</w:t>
      </w:r>
      <w:r>
        <w:rPr>
          <w:rFonts w:ascii="宋体" w:hAnsi="宋体" w:cs="仿宋"/>
          <w:bCs/>
          <w:color w:val="auto"/>
          <w:kern w:val="0"/>
          <w:szCs w:val="21"/>
          <w:highlight w:val="none"/>
        </w:rPr>
        <w:t>。</w:t>
      </w:r>
    </w:p>
    <w:p>
      <w:pPr>
        <w:numPr>
          <w:ilvl w:val="1"/>
          <w:numId w:val="8"/>
        </w:numPr>
        <w:spacing w:line="360" w:lineRule="auto"/>
        <w:rPr>
          <w:rFonts w:ascii="宋体" w:hAnsi="宋体"/>
          <w:color w:val="auto"/>
          <w:szCs w:val="21"/>
          <w:highlight w:val="none"/>
        </w:rPr>
      </w:pPr>
      <w:r>
        <w:rPr>
          <w:rFonts w:hint="eastAsia" w:ascii="宋体" w:hAnsi="宋体"/>
          <w:color w:val="auto"/>
          <w:szCs w:val="21"/>
          <w:highlight w:val="none"/>
          <w:u w:val="single"/>
        </w:rPr>
        <w:t>配合销售时场地需作调整</w:t>
      </w:r>
      <w:r>
        <w:rPr>
          <w:rFonts w:hint="eastAsia" w:ascii="宋体" w:hAnsi="宋体"/>
          <w:color w:val="auto"/>
          <w:szCs w:val="21"/>
          <w:highlight w:val="none"/>
        </w:rPr>
        <w:t>：</w:t>
      </w:r>
      <w:r>
        <w:rPr>
          <w:rFonts w:hint="eastAsia" w:ascii="宋体" w:hAnsi="宋体" w:cs="仿宋"/>
          <w:color w:val="auto"/>
          <w:kern w:val="0"/>
          <w:highlight w:val="none"/>
        </w:rPr>
        <w:t>承包人须配合发包人销售要求调整施工道路，示范区不得通行施工车辆，另须做好示范区的安全文明管理</w:t>
      </w:r>
      <w:r>
        <w:rPr>
          <w:rFonts w:ascii="宋体" w:hAnsi="宋体"/>
          <w:color w:val="auto"/>
          <w:szCs w:val="21"/>
          <w:highlight w:val="none"/>
        </w:rPr>
        <w:t>。</w:t>
      </w:r>
    </w:p>
    <w:p>
      <w:pPr>
        <w:numPr>
          <w:ilvl w:val="1"/>
          <w:numId w:val="8"/>
        </w:numPr>
        <w:spacing w:line="360" w:lineRule="auto"/>
        <w:rPr>
          <w:rFonts w:ascii="宋体" w:hAnsi="宋体"/>
          <w:color w:val="auto"/>
          <w:szCs w:val="21"/>
          <w:highlight w:val="none"/>
        </w:rPr>
      </w:pPr>
      <w:r>
        <w:rPr>
          <w:rFonts w:hint="eastAsia" w:ascii="宋体" w:hAnsi="宋体"/>
          <w:color w:val="auto"/>
          <w:szCs w:val="21"/>
          <w:highlight w:val="none"/>
          <w:u w:val="single"/>
        </w:rPr>
        <w:t>场地预留</w:t>
      </w:r>
      <w:r>
        <w:rPr>
          <w:rFonts w:hint="eastAsia" w:ascii="宋体" w:hAnsi="宋体"/>
          <w:color w:val="auto"/>
          <w:szCs w:val="21"/>
          <w:highlight w:val="none"/>
        </w:rPr>
        <w:t>：</w:t>
      </w:r>
      <w:r>
        <w:rPr>
          <w:rFonts w:ascii="宋体" w:hAnsi="宋体" w:cs="仿宋"/>
          <w:color w:val="auto"/>
          <w:kern w:val="0"/>
          <w:highlight w:val="none"/>
        </w:rPr>
        <w:t>在布置现场临设时须为装修、铝合金、电梯、园林等主要专业分包单位和直接发包单位分别预留不少于100m2场地，</w:t>
      </w:r>
      <w:r>
        <w:rPr>
          <w:rFonts w:hint="eastAsia" w:ascii="宋体" w:hAnsi="宋体" w:cs="仿宋"/>
          <w:color w:val="auto"/>
          <w:kern w:val="0"/>
          <w:highlight w:val="none"/>
        </w:rPr>
        <w:t>地下室负一层作为精装单位堆放材料，</w:t>
      </w:r>
      <w:r>
        <w:rPr>
          <w:rFonts w:ascii="宋体" w:hAnsi="宋体" w:cs="仿宋"/>
          <w:color w:val="auto"/>
          <w:kern w:val="0"/>
          <w:highlight w:val="none"/>
        </w:rPr>
        <w:t>用于上述单位的办公和材料仓库用地。此外，随着各专业单位陆续进场，总包单位须提供不少于130m2的临时板房办公楼，且为</w:t>
      </w:r>
      <w:r>
        <w:rPr>
          <w:rFonts w:hint="eastAsia" w:ascii="宋体" w:hAnsi="宋体" w:cs="仿宋"/>
          <w:color w:val="auto"/>
          <w:kern w:val="0"/>
          <w:highlight w:val="none"/>
        </w:rPr>
        <w:t>前述</w:t>
      </w:r>
      <w:r>
        <w:rPr>
          <w:rFonts w:ascii="宋体" w:hAnsi="宋体" w:cs="仿宋"/>
          <w:color w:val="auto"/>
          <w:kern w:val="0"/>
          <w:highlight w:val="none"/>
        </w:rPr>
        <w:t>每一个单位分别预留不少于20m2的办公室以及不少于100M2的材料仓库用地。</w:t>
      </w:r>
      <w:r>
        <w:rPr>
          <w:rFonts w:hint="eastAsia" w:ascii="宋体" w:hAnsi="宋体" w:cs="仿宋"/>
          <w:color w:val="auto"/>
          <w:kern w:val="0"/>
          <w:highlight w:val="none"/>
        </w:rPr>
        <w:t>其水电源由总承包单位统一管理，水电接驳点离办公楼不大于</w:t>
      </w:r>
      <w:r>
        <w:rPr>
          <w:rFonts w:ascii="宋体" w:hAnsi="宋体" w:cs="仿宋"/>
          <w:color w:val="auto"/>
          <w:kern w:val="0"/>
          <w:highlight w:val="none"/>
        </w:rPr>
        <w:t>50m</w:t>
      </w:r>
      <w:r>
        <w:rPr>
          <w:rFonts w:hint="eastAsia" w:ascii="宋体" w:hAnsi="宋体"/>
          <w:color w:val="auto"/>
          <w:szCs w:val="21"/>
          <w:highlight w:val="none"/>
        </w:rPr>
        <w:t>。</w:t>
      </w:r>
    </w:p>
    <w:p>
      <w:pPr>
        <w:numPr>
          <w:ilvl w:val="1"/>
          <w:numId w:val="8"/>
        </w:numPr>
        <w:spacing w:line="360" w:lineRule="auto"/>
        <w:jc w:val="left"/>
        <w:rPr>
          <w:rFonts w:ascii="宋体" w:hAnsi="宋体"/>
          <w:color w:val="auto"/>
          <w:szCs w:val="21"/>
          <w:highlight w:val="none"/>
        </w:rPr>
      </w:pPr>
      <w:r>
        <w:rPr>
          <w:rFonts w:hint="eastAsia" w:ascii="宋体" w:hAnsi="宋体"/>
          <w:color w:val="auto"/>
          <w:szCs w:val="21"/>
          <w:highlight w:val="none"/>
          <w:u w:val="single"/>
        </w:rPr>
        <w:t>施工总平面布置图</w:t>
      </w:r>
      <w:r>
        <w:rPr>
          <w:rFonts w:hint="eastAsia" w:ascii="宋体" w:hAnsi="宋体"/>
          <w:color w:val="auto"/>
          <w:szCs w:val="21"/>
          <w:highlight w:val="none"/>
        </w:rPr>
        <w:t>：</w:t>
      </w:r>
      <w:r>
        <w:rPr>
          <w:rFonts w:hint="eastAsia" w:ascii="宋体" w:hAnsi="宋体" w:cs="仿宋"/>
          <w:color w:val="auto"/>
          <w:kern w:val="0"/>
          <w:highlight w:val="none"/>
        </w:rPr>
        <w:t>本工程的承包人应根据发包人已提供的场地及本工程要求，尤其是配合销售要求，合理设计“施工总平面布置图”，并且采用</w:t>
      </w:r>
      <w:r>
        <w:rPr>
          <w:rFonts w:ascii="宋体" w:hAnsi="宋体" w:cs="仿宋"/>
          <w:color w:val="auto"/>
          <w:kern w:val="0"/>
          <w:highlight w:val="none"/>
        </w:rPr>
        <w:t>BIM技术的平面布置及施工各阶段的模拟</w:t>
      </w:r>
      <w:r>
        <w:rPr>
          <w:rFonts w:hint="eastAsia" w:ascii="宋体" w:hAnsi="宋体" w:cs="仿宋"/>
          <w:color w:val="auto"/>
          <w:kern w:val="0"/>
          <w:highlight w:val="none"/>
        </w:rPr>
        <w:t>（包括施工场地布置效果图、施工场地园林绿化图）。因施工工期较紧，投标人应配备足够数量垂直运输设备、施工机具，施工机械布置需经招标人或监理认可）。本工程垂直运输设备、施工机具数量要求不少于报价承诺，根据实际施工情况，出现施工进度滞后，监理及发标人有权要求承包人增配垂直运输设备、施工机具，报价不予调整。承包人在进行施工场地布置时，不得在展示区域内布置任何施工机械、材料堆放（加工）场等，临时线路布置亦不得穿越展示区架空设置（可考虑埋地），临水管道亦不得穿越展示区地面敷设（可考虑埋地）；施工用塔吊、人货梯、井架、混凝土泵等设备、设施不得设置于展示区正面。根据招标人提供的规划总平面图，结合施工进度等实际情况，统一规划材料加工场、材料堆放、材料仓库及材料中转场等，并提供详细的平面布置图，室外综合管线须提交初步的方案，需涵盖以上各点要求（招标人根据实际要求可调整增加，承包人应积极予以配合）</w:t>
      </w:r>
      <w:r>
        <w:rPr>
          <w:rFonts w:hint="eastAsia" w:ascii="宋体" w:hAnsi="宋体"/>
          <w:color w:val="auto"/>
          <w:szCs w:val="21"/>
          <w:highlight w:val="none"/>
        </w:rPr>
        <w:t>。</w:t>
      </w:r>
    </w:p>
    <w:p>
      <w:pPr>
        <w:numPr>
          <w:ilvl w:val="1"/>
          <w:numId w:val="8"/>
        </w:numPr>
        <w:spacing w:before="120" w:beforeLines="50" w:after="120" w:afterLines="50" w:line="360" w:lineRule="auto"/>
        <w:rPr>
          <w:color w:val="auto"/>
          <w:szCs w:val="21"/>
          <w:highlight w:val="none"/>
        </w:rPr>
      </w:pPr>
      <w:r>
        <w:rPr>
          <w:color w:val="auto"/>
          <w:szCs w:val="21"/>
          <w:highlight w:val="none"/>
        </w:rPr>
        <w:t>要求承包人在场地内设置施工材料样板间，面积大于100㎡</w:t>
      </w:r>
      <w:r>
        <w:rPr>
          <w:rFonts w:hint="eastAsia"/>
          <w:color w:val="auto"/>
          <w:szCs w:val="21"/>
          <w:highlight w:val="none"/>
        </w:rPr>
        <w:t>，用于放置已经招标人确认的施工材料样板（含其它各专业单位的施工材料样板）。</w:t>
      </w:r>
      <w:r>
        <w:rPr>
          <w:rFonts w:hint="eastAsia" w:ascii="宋体" w:hAnsi="宋体" w:cs="仿宋"/>
          <w:color w:val="auto"/>
          <w:kern w:val="0"/>
          <w:highlight w:val="none"/>
        </w:rPr>
        <w:t>房间内必须设置足够的照明、通风设施，以及货架以放置材料样板并符合招标人总部工程管理中心的最新要求</w:t>
      </w:r>
      <w:r>
        <w:rPr>
          <w:rFonts w:hint="eastAsia"/>
          <w:color w:val="auto"/>
          <w:szCs w:val="21"/>
          <w:highlight w:val="none"/>
        </w:rPr>
        <w:t>。</w:t>
      </w:r>
    </w:p>
    <w:p>
      <w:pPr>
        <w:numPr>
          <w:ilvl w:val="1"/>
          <w:numId w:val="8"/>
        </w:numPr>
        <w:spacing w:before="120" w:beforeLines="50" w:after="120" w:afterLines="50" w:line="360" w:lineRule="auto"/>
        <w:rPr>
          <w:color w:val="auto"/>
          <w:szCs w:val="21"/>
          <w:highlight w:val="none"/>
        </w:rPr>
      </w:pPr>
      <w:r>
        <w:rPr>
          <w:color w:val="auto"/>
          <w:szCs w:val="21"/>
          <w:highlight w:val="none"/>
        </w:rPr>
        <w:t>在现场设置样板施工区，在结构施工、装修施工、防水施工等阶段须先做样板经</w:t>
      </w:r>
      <w:r>
        <w:rPr>
          <w:rFonts w:hint="eastAsia"/>
          <w:color w:val="auto"/>
          <w:szCs w:val="21"/>
          <w:highlight w:val="none"/>
        </w:rPr>
        <w:t>发包人</w:t>
      </w:r>
      <w:r>
        <w:rPr>
          <w:color w:val="auto"/>
          <w:szCs w:val="21"/>
          <w:highlight w:val="none"/>
        </w:rPr>
        <w:t>设计确认后才大面施工。</w:t>
      </w:r>
    </w:p>
    <w:p>
      <w:pPr>
        <w:pStyle w:val="714"/>
        <w:numPr>
          <w:ilvl w:val="0"/>
          <w:numId w:val="7"/>
        </w:numPr>
        <w:spacing w:line="360" w:lineRule="auto"/>
        <w:ind w:firstLineChars="0"/>
        <w:outlineLvl w:val="1"/>
        <w:rPr>
          <w:rFonts w:ascii="宋体" w:hAnsi="宋体"/>
          <w:color w:val="auto"/>
          <w:szCs w:val="21"/>
          <w:highlight w:val="none"/>
        </w:rPr>
      </w:pPr>
      <w:r>
        <w:rPr>
          <w:rFonts w:hint="eastAsia" w:ascii="宋体" w:hAnsi="宋体"/>
          <w:b/>
          <w:color w:val="auto"/>
          <w:szCs w:val="21"/>
          <w:highlight w:val="none"/>
        </w:rPr>
        <w:t>施工总体计划和节点要求：</w:t>
      </w:r>
    </w:p>
    <w:p>
      <w:pPr>
        <w:pStyle w:val="714"/>
        <w:numPr>
          <w:ilvl w:val="1"/>
          <w:numId w:val="10"/>
        </w:numPr>
        <w:tabs>
          <w:tab w:val="left" w:pos="840"/>
          <w:tab w:val="left" w:pos="1050"/>
          <w:tab w:val="left" w:pos="1060"/>
        </w:tabs>
        <w:spacing w:line="360" w:lineRule="auto"/>
        <w:ind w:hanging="147" w:firstLineChars="0"/>
        <w:jc w:val="left"/>
        <w:rPr>
          <w:rFonts w:ascii="宋体" w:hAnsi="宋体"/>
          <w:color w:val="auto"/>
          <w:highlight w:val="none"/>
        </w:rPr>
      </w:pPr>
      <w:r>
        <w:rPr>
          <w:rFonts w:hint="eastAsia" w:ascii="宋体" w:hAnsi="宋体"/>
          <w:color w:val="auto"/>
          <w:szCs w:val="21"/>
          <w:highlight w:val="none"/>
        </w:rPr>
        <w:t>施工计划：</w:t>
      </w:r>
      <w:r>
        <w:rPr>
          <w:rFonts w:hint="eastAsia" w:ascii="宋体" w:hAnsi="宋体"/>
          <w:color w:val="auto"/>
          <w:highlight w:val="none"/>
        </w:rPr>
        <w:t>工期节点要求详合同专用条款。</w:t>
      </w:r>
    </w:p>
    <w:p>
      <w:pPr>
        <w:pStyle w:val="714"/>
        <w:numPr>
          <w:ilvl w:val="1"/>
          <w:numId w:val="10"/>
        </w:numPr>
        <w:tabs>
          <w:tab w:val="left" w:pos="840"/>
          <w:tab w:val="left" w:pos="1050"/>
          <w:tab w:val="left" w:pos="1060"/>
        </w:tabs>
        <w:autoSpaceDE w:val="0"/>
        <w:autoSpaceDN w:val="0"/>
        <w:adjustRightInd w:val="0"/>
        <w:spacing w:line="360" w:lineRule="auto"/>
        <w:ind w:hanging="147" w:firstLineChars="0"/>
        <w:jc w:val="left"/>
        <w:rPr>
          <w:rFonts w:ascii="宋体" w:hAnsi="宋体" w:cs="仿宋"/>
          <w:color w:val="auto"/>
          <w:kern w:val="0"/>
          <w:szCs w:val="21"/>
          <w:highlight w:val="none"/>
        </w:rPr>
      </w:pPr>
      <w:r>
        <w:rPr>
          <w:rFonts w:hint="eastAsia" w:ascii="宋体" w:hAnsi="宋体" w:cs="仿宋"/>
          <w:color w:val="auto"/>
          <w:kern w:val="0"/>
          <w:szCs w:val="21"/>
          <w:highlight w:val="none"/>
        </w:rPr>
        <w:t>进度相关措施要求：</w:t>
      </w:r>
    </w:p>
    <w:p>
      <w:pPr>
        <w:autoSpaceDE w:val="0"/>
        <w:autoSpaceDN w:val="0"/>
        <w:adjustRightInd w:val="0"/>
        <w:spacing w:line="360" w:lineRule="auto"/>
        <w:ind w:firstLine="420" w:firstLineChars="200"/>
        <w:jc w:val="left"/>
        <w:rPr>
          <w:rFonts w:ascii="宋体" w:hAnsi="宋体" w:cs="FangSong,Bold"/>
          <w:bCs/>
          <w:color w:val="auto"/>
          <w:kern w:val="0"/>
          <w:szCs w:val="21"/>
          <w:highlight w:val="none"/>
        </w:rPr>
      </w:pPr>
      <w:r>
        <w:rPr>
          <w:rFonts w:hint="eastAsia" w:ascii="宋体" w:hAnsi="宋体" w:cs="FangSong,Bold"/>
          <w:bCs/>
          <w:color w:val="auto"/>
          <w:kern w:val="0"/>
          <w:szCs w:val="21"/>
          <w:highlight w:val="none"/>
        </w:rPr>
        <w:t>（</w:t>
      </w:r>
      <w:r>
        <w:rPr>
          <w:rFonts w:ascii="宋体" w:hAnsi="宋体" w:cs="FangSong,Bold"/>
          <w:bCs/>
          <w:color w:val="auto"/>
          <w:kern w:val="0"/>
          <w:szCs w:val="21"/>
          <w:highlight w:val="none"/>
        </w:rPr>
        <w:t>1</w:t>
      </w:r>
      <w:r>
        <w:rPr>
          <w:rFonts w:hint="eastAsia" w:ascii="宋体" w:hAnsi="宋体" w:cs="FangSong,Bold"/>
          <w:bCs/>
          <w:color w:val="auto"/>
          <w:kern w:val="0"/>
          <w:szCs w:val="21"/>
          <w:highlight w:val="none"/>
        </w:rPr>
        <w:t>）减少春节影响，春节期间连续施工，保证现场管理人员、劳动力及材料供应等满足进度需求。</w:t>
      </w:r>
    </w:p>
    <w:p>
      <w:pPr>
        <w:autoSpaceDE w:val="0"/>
        <w:autoSpaceDN w:val="0"/>
        <w:adjustRightInd w:val="0"/>
        <w:spacing w:line="360" w:lineRule="auto"/>
        <w:ind w:firstLine="420" w:firstLineChars="200"/>
        <w:jc w:val="left"/>
        <w:rPr>
          <w:rFonts w:ascii="宋体" w:hAnsi="宋体" w:cs="FangSong,Bold"/>
          <w:bCs/>
          <w:color w:val="auto"/>
          <w:kern w:val="0"/>
          <w:szCs w:val="21"/>
          <w:highlight w:val="none"/>
        </w:rPr>
      </w:pPr>
      <w:r>
        <w:rPr>
          <w:rFonts w:hint="eastAsia" w:ascii="宋体" w:hAnsi="宋体" w:cs="仿宋"/>
          <w:color w:val="auto"/>
          <w:kern w:val="0"/>
          <w:szCs w:val="21"/>
          <w:highlight w:val="none"/>
        </w:rPr>
        <w:t>（</w:t>
      </w:r>
      <w:r>
        <w:rPr>
          <w:rFonts w:ascii="宋体" w:hAnsi="宋体" w:cs="仿宋"/>
          <w:color w:val="auto"/>
          <w:kern w:val="0"/>
          <w:szCs w:val="21"/>
          <w:highlight w:val="none"/>
        </w:rPr>
        <w:t>2</w:t>
      </w:r>
      <w:r>
        <w:rPr>
          <w:rFonts w:hint="eastAsia" w:ascii="宋体" w:hAnsi="宋体" w:cs="仿宋"/>
          <w:color w:val="auto"/>
          <w:kern w:val="0"/>
          <w:szCs w:val="21"/>
          <w:highlight w:val="none"/>
        </w:rPr>
        <w:t>）为保证施工进度，要求塔楼与地下室的结构、砌筑抹灰等班组必须完全分开，要求采用不同的劳务队伍，以保证塔楼和地下室进度不互相影响，</w:t>
      </w:r>
      <w:r>
        <w:rPr>
          <w:rFonts w:hint="eastAsia" w:ascii="宋体" w:hAnsi="宋体" w:cs="FangSong,Bold"/>
          <w:bCs/>
          <w:color w:val="auto"/>
          <w:kern w:val="0"/>
          <w:szCs w:val="21"/>
          <w:highlight w:val="none"/>
        </w:rPr>
        <w:t>以上内容应在技术文件中予以体现。</w:t>
      </w:r>
    </w:p>
    <w:p>
      <w:pPr>
        <w:autoSpaceDE w:val="0"/>
        <w:autoSpaceDN w:val="0"/>
        <w:adjustRightInd w:val="0"/>
        <w:spacing w:line="480" w:lineRule="exact"/>
        <w:ind w:firstLine="420" w:firstLineChars="200"/>
        <w:jc w:val="left"/>
        <w:rPr>
          <w:rFonts w:ascii="宋体" w:hAnsi="宋体" w:cs="仿宋"/>
          <w:color w:val="auto"/>
          <w:kern w:val="0"/>
          <w:highlight w:val="none"/>
        </w:rPr>
      </w:pPr>
      <w:r>
        <w:rPr>
          <w:rFonts w:hint="eastAsia" w:ascii="宋体" w:hAnsi="宋体" w:cs="仿宋"/>
          <w:color w:val="auto"/>
          <w:kern w:val="0"/>
          <w:highlight w:val="none"/>
        </w:rPr>
        <w:t>（3）塔吊数量及位置以投标人施工总平面图为准；塔吊基础部分由投标人完成；投标人包含钢筋砼基础、桩基础施工、拆除与所产生的垃圾清运出现场；基础施工前进场，塔吊经我司同意方可拆除。</w:t>
      </w:r>
    </w:p>
    <w:p>
      <w:pPr>
        <w:autoSpaceDE w:val="0"/>
        <w:autoSpaceDN w:val="0"/>
        <w:adjustRightInd w:val="0"/>
        <w:spacing w:line="360" w:lineRule="auto"/>
        <w:ind w:firstLine="420" w:firstLineChars="200"/>
        <w:jc w:val="left"/>
        <w:rPr>
          <w:color w:val="auto"/>
          <w:highlight w:val="none"/>
        </w:rPr>
      </w:pPr>
      <w:r>
        <w:rPr>
          <w:rFonts w:hint="eastAsia" w:ascii="宋体" w:hAnsi="宋体" w:cs="仿宋"/>
          <w:color w:val="auto"/>
          <w:kern w:val="0"/>
          <w:highlight w:val="none"/>
        </w:rPr>
        <w:t>（</w:t>
      </w:r>
      <w:r>
        <w:rPr>
          <w:rFonts w:ascii="宋体" w:hAnsi="宋体" w:cs="仿宋"/>
          <w:color w:val="auto"/>
          <w:kern w:val="0"/>
          <w:highlight w:val="none"/>
        </w:rPr>
        <w:t>4）中选日至开工期间，中标人需安排对标段范围内进行围蔽、照管，并考虑相应的措施费用</w:t>
      </w: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临电、临水及机械设备要求（全部临水临电临排方案需报监理、建设方审批后才能执行）</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3.1</w:t>
      </w:r>
      <w:r>
        <w:rPr>
          <w:rFonts w:hint="eastAsia" w:ascii="宋体" w:hAnsi="宋体"/>
          <w:color w:val="auto"/>
          <w:highlight w:val="none"/>
        </w:rPr>
        <w:t>基础施工期间时要考虑塔吊基础的设置与施工。要避开大堂门口、看楼通道及样板区域等涉及销售的区域，塔吊基础所设位置要尽量避开穿越楼板，不允许采用内爬塔，具体位置须经发包人同意。承包人在基础施工前应向监理单位报审塔吊基础方案，经监理审核后再根据上述方案调整基础施工方案。因工期较紧，必须于承台开挖前完成塔吊安装并经检测合格后投入使用</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ascii="宋体" w:hAnsi="宋体" w:cs="FangSong,Bold"/>
          <w:bCs/>
          <w:color w:val="auto"/>
          <w:kern w:val="0"/>
          <w:szCs w:val="21"/>
          <w:highlight w:val="none"/>
        </w:rPr>
        <w:t>3.2</w:t>
      </w:r>
      <w:r>
        <w:rPr>
          <w:rFonts w:hint="eastAsia" w:ascii="宋体" w:hAnsi="宋体"/>
          <w:color w:val="auto"/>
          <w:highlight w:val="none"/>
        </w:rPr>
        <w:t>临水由承包人自行报装并从接驳点接通到施工区域内；前期临电若未能开通，总包方须自备发电机供电；</w:t>
      </w:r>
      <w:r>
        <w:rPr>
          <w:rFonts w:hint="eastAsia" w:ascii="宋体" w:hAnsi="宋体" w:cs="Bold"/>
          <w:color w:val="auto"/>
          <w:kern w:val="0"/>
          <w:highlight w:val="none"/>
        </w:rPr>
        <w:t>总包方投标前</w:t>
      </w:r>
      <w:r>
        <w:rPr>
          <w:rFonts w:hint="eastAsia" w:ascii="宋体" w:hAnsi="宋体"/>
          <w:color w:val="auto"/>
          <w:highlight w:val="none"/>
        </w:rPr>
        <w:t>必须</w:t>
      </w:r>
      <w:r>
        <w:rPr>
          <w:rFonts w:hint="eastAsia" w:ascii="宋体" w:hAnsi="宋体" w:cs="Bold"/>
          <w:color w:val="auto"/>
          <w:kern w:val="0"/>
          <w:highlight w:val="none"/>
        </w:rPr>
        <w:t>到现场核实。如现场未有临电临水提供时，总包需自行考虑发电机方式供电以及自行解决用水问题</w:t>
      </w:r>
      <w:r>
        <w:rPr>
          <w:rFonts w:hint="eastAsia" w:ascii="宋体" w:hAnsi="宋体"/>
          <w:color w:val="auto"/>
          <w:szCs w:val="21"/>
          <w:highlight w:val="none"/>
        </w:rPr>
        <w:t>。详见第四章。</w:t>
      </w:r>
    </w:p>
    <w:p>
      <w:pPr>
        <w:pStyle w:val="2"/>
        <w:rPr>
          <w:color w:val="auto"/>
          <w:highlight w:val="none"/>
        </w:rPr>
      </w:pPr>
    </w:p>
    <w:p>
      <w:pPr>
        <w:autoSpaceDE w:val="0"/>
        <w:autoSpaceDN w:val="0"/>
        <w:adjustRightInd w:val="0"/>
        <w:spacing w:line="360" w:lineRule="auto"/>
        <w:ind w:firstLine="420" w:firstLineChars="200"/>
        <w:jc w:val="left"/>
        <w:rPr>
          <w:rFonts w:ascii="宋体" w:hAnsi="宋体" w:cs="FangSong,Bold"/>
          <w:bCs/>
          <w:color w:val="auto"/>
          <w:kern w:val="0"/>
          <w:szCs w:val="21"/>
          <w:highlight w:val="none"/>
        </w:rPr>
      </w:pPr>
      <w:r>
        <w:rPr>
          <w:rFonts w:ascii="宋体" w:hAnsi="宋体" w:cs="FangSong,Bold"/>
          <w:bCs/>
          <w:color w:val="auto"/>
          <w:kern w:val="0"/>
          <w:szCs w:val="21"/>
          <w:highlight w:val="none"/>
        </w:rPr>
        <w:t>3.3. 从永久电梯土建移交电梯单位开始至永久电梯移交给精装修单位或物管期间，必须保证电梯底坑必须连通集水井，每个集水井必须设置自动抽水泵</w:t>
      </w:r>
      <w:r>
        <w:rPr>
          <w:rFonts w:hint="eastAsia" w:ascii="宋体" w:hAnsi="宋体" w:cs="FangSong,Bold"/>
          <w:bCs/>
          <w:color w:val="auto"/>
          <w:kern w:val="0"/>
          <w:szCs w:val="21"/>
          <w:highlight w:val="none"/>
        </w:rPr>
        <w:t>并采用单独临电回路供电</w:t>
      </w:r>
      <w:r>
        <w:rPr>
          <w:rFonts w:ascii="宋体" w:hAnsi="宋体" w:cs="FangSong,Bold"/>
          <w:bCs/>
          <w:color w:val="auto"/>
          <w:kern w:val="0"/>
          <w:szCs w:val="21"/>
          <w:highlight w:val="none"/>
        </w:rPr>
        <w:t>，必须安排专人每天巡检</w:t>
      </w:r>
      <w:r>
        <w:rPr>
          <w:rFonts w:hint="eastAsia" w:ascii="宋体" w:hAnsi="宋体" w:cs="FangSong,Bold"/>
          <w:bCs/>
          <w:color w:val="auto"/>
          <w:kern w:val="0"/>
          <w:szCs w:val="21"/>
          <w:highlight w:val="none"/>
        </w:rPr>
        <w:t>，保证底坑不积水，保证电梯施工及使用</w:t>
      </w:r>
      <w:r>
        <w:rPr>
          <w:rFonts w:ascii="宋体" w:hAnsi="宋体" w:cs="FangSong,Bold"/>
          <w:bCs/>
          <w:color w:val="auto"/>
          <w:kern w:val="0"/>
          <w:szCs w:val="21"/>
          <w:highlight w:val="none"/>
        </w:rPr>
        <w:t>。费用包含在总价合同内</w:t>
      </w:r>
      <w:r>
        <w:rPr>
          <w:rFonts w:hint="eastAsia" w:ascii="宋体" w:hAnsi="宋体" w:cs="FangSong,Bold"/>
          <w:bCs/>
          <w:color w:val="auto"/>
          <w:kern w:val="0"/>
          <w:szCs w:val="21"/>
          <w:highlight w:val="none"/>
        </w:rPr>
        <w:t>。</w:t>
      </w:r>
    </w:p>
    <w:p>
      <w:pPr>
        <w:spacing w:line="360" w:lineRule="auto"/>
        <w:ind w:firstLine="420" w:firstLineChars="200"/>
        <w:rPr>
          <w:rFonts w:ascii="宋体" w:hAnsi="宋体"/>
          <w:color w:val="auto"/>
          <w:szCs w:val="21"/>
          <w:highlight w:val="none"/>
        </w:rPr>
      </w:pPr>
      <w:r>
        <w:rPr>
          <w:rFonts w:ascii="宋体" w:hAnsi="宋体"/>
          <w:color w:val="auto"/>
          <w:szCs w:val="21"/>
          <w:highlight w:val="none"/>
        </w:rPr>
        <w:t>3.4</w:t>
      </w:r>
      <w:r>
        <w:rPr>
          <w:rFonts w:hint="eastAsia" w:ascii="宋体" w:hAnsi="宋体"/>
          <w:bCs/>
          <w:color w:val="auto"/>
          <w:szCs w:val="21"/>
          <w:highlight w:val="none"/>
        </w:rPr>
        <w:t>本工程的临时水、电均由承包人统一管理，具体详见第四章</w:t>
      </w:r>
      <w:r>
        <w:rPr>
          <w:rFonts w:ascii="宋体" w:hAnsi="宋体"/>
          <w:bCs/>
          <w:color w:val="auto"/>
          <w:szCs w:val="21"/>
          <w:highlight w:val="none"/>
        </w:rPr>
        <w:t>中的相关约定</w:t>
      </w:r>
      <w:r>
        <w:rPr>
          <w:rFonts w:ascii="宋体" w:hAnsi="宋体"/>
          <w:color w:val="auto"/>
          <w:szCs w:val="21"/>
          <w:highlight w:val="none"/>
        </w:rPr>
        <w:t>。</w:t>
      </w:r>
    </w:p>
    <w:p>
      <w:pPr>
        <w:autoSpaceDE w:val="0"/>
        <w:autoSpaceDN w:val="0"/>
        <w:adjustRightInd w:val="0"/>
        <w:spacing w:line="360" w:lineRule="auto"/>
        <w:ind w:firstLine="420" w:firstLineChars="200"/>
        <w:jc w:val="left"/>
        <w:rPr>
          <w:rFonts w:ascii="宋体" w:hAnsi="宋体"/>
          <w:color w:val="auto"/>
          <w:kern w:val="0"/>
          <w:szCs w:val="21"/>
          <w:highlight w:val="none"/>
        </w:rPr>
      </w:pPr>
      <w:r>
        <w:rPr>
          <w:rFonts w:hint="eastAsia" w:ascii="宋体" w:hAnsi="宋体" w:cs="仿宋"/>
          <w:bCs/>
          <w:color w:val="auto"/>
          <w:kern w:val="0"/>
          <w:szCs w:val="21"/>
          <w:highlight w:val="none"/>
        </w:rPr>
        <w:t>如果因总包原因造成现场停水或停电或排水不畅堵塞的，将处以每次不少于</w:t>
      </w:r>
      <w:r>
        <w:rPr>
          <w:rFonts w:ascii="宋体" w:hAnsi="宋体" w:cs="仿宋"/>
          <w:bCs/>
          <w:color w:val="auto"/>
          <w:kern w:val="0"/>
          <w:szCs w:val="21"/>
          <w:highlight w:val="none"/>
        </w:rPr>
        <w:t>10000</w:t>
      </w:r>
      <w:r>
        <w:rPr>
          <w:rFonts w:hint="eastAsia" w:ascii="宋体" w:hAnsi="宋体" w:cs="仿宋"/>
          <w:bCs/>
          <w:color w:val="auto"/>
          <w:kern w:val="0"/>
          <w:szCs w:val="21"/>
          <w:highlight w:val="none"/>
        </w:rPr>
        <w:t>元的违约金，影响展示区及样板房超过</w:t>
      </w:r>
      <w:r>
        <w:rPr>
          <w:rFonts w:ascii="宋体" w:hAnsi="宋体" w:cs="仿宋"/>
          <w:bCs/>
          <w:color w:val="auto"/>
          <w:kern w:val="0"/>
          <w:szCs w:val="21"/>
          <w:highlight w:val="none"/>
        </w:rPr>
        <w:t>5分钟、</w:t>
      </w:r>
      <w:r>
        <w:rPr>
          <w:rFonts w:hint="eastAsia" w:ascii="宋体" w:hAnsi="宋体" w:cs="仿宋"/>
          <w:bCs/>
          <w:color w:val="auto"/>
          <w:kern w:val="0"/>
          <w:szCs w:val="21"/>
          <w:highlight w:val="none"/>
        </w:rPr>
        <w:t>正常施工超过</w:t>
      </w:r>
      <w:r>
        <w:rPr>
          <w:rFonts w:ascii="宋体" w:hAnsi="宋体" w:cs="仿宋"/>
          <w:bCs/>
          <w:color w:val="auto"/>
          <w:kern w:val="0"/>
          <w:szCs w:val="21"/>
          <w:highlight w:val="none"/>
        </w:rPr>
        <w:t>6</w:t>
      </w:r>
      <w:r>
        <w:rPr>
          <w:rFonts w:hint="eastAsia" w:ascii="宋体" w:hAnsi="宋体" w:cs="仿宋"/>
          <w:bCs/>
          <w:color w:val="auto"/>
          <w:kern w:val="0"/>
          <w:szCs w:val="21"/>
          <w:highlight w:val="none"/>
        </w:rPr>
        <w:t>小时的，追究总包所造成的工期损失责任。总包需要满足但不仅限于以下要求：</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施工用水池设置于发包人指定位置，上楼主管径不小于</w:t>
      </w:r>
      <w:r>
        <w:rPr>
          <w:rFonts w:ascii="宋体" w:hAnsi="宋体" w:cs="仿宋"/>
          <w:bCs/>
          <w:color w:val="auto"/>
          <w:kern w:val="0"/>
          <w:szCs w:val="21"/>
          <w:highlight w:val="none"/>
        </w:rPr>
        <w:t>DN50</w:t>
      </w:r>
      <w:r>
        <w:rPr>
          <w:rFonts w:hint="eastAsia" w:ascii="宋体" w:hAnsi="宋体" w:cs="仿宋"/>
          <w:bCs/>
          <w:color w:val="auto"/>
          <w:kern w:val="0"/>
          <w:szCs w:val="21"/>
          <w:highlight w:val="none"/>
        </w:rPr>
        <w:t>，每楼层设一个施工用水阀（注：要求使用按压式水龙头）必要时需在各楼栋中间楼层设置加压水池及加压泵，以确保顶楼及屋面施工用水压力能够满足要求，所有加压水泵要求必须一用一备。</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消防水管与施工用水上楼水管分开设置，上楼主管径不小于</w:t>
      </w:r>
      <w:r>
        <w:rPr>
          <w:rFonts w:ascii="宋体" w:hAnsi="宋体" w:cs="仿宋"/>
          <w:bCs/>
          <w:color w:val="auto"/>
          <w:kern w:val="0"/>
          <w:szCs w:val="21"/>
          <w:highlight w:val="none"/>
        </w:rPr>
        <w:t>DN100</w:t>
      </w:r>
      <w:r>
        <w:rPr>
          <w:rFonts w:hint="eastAsia" w:ascii="宋体" w:hAnsi="宋体" w:cs="仿宋"/>
          <w:bCs/>
          <w:color w:val="auto"/>
          <w:kern w:val="0"/>
          <w:szCs w:val="21"/>
          <w:highlight w:val="none"/>
        </w:rPr>
        <w:t>镀锌</w:t>
      </w:r>
      <w:r>
        <w:rPr>
          <w:rFonts w:ascii="宋体" w:hAnsi="宋体" w:cs="仿宋"/>
          <w:bCs/>
          <w:color w:val="auto"/>
          <w:kern w:val="0"/>
          <w:szCs w:val="21"/>
          <w:highlight w:val="none"/>
        </w:rPr>
        <w:t>钢管</w:t>
      </w:r>
      <w:r>
        <w:rPr>
          <w:rFonts w:hint="eastAsia" w:ascii="宋体" w:hAnsi="宋体" w:cs="仿宋"/>
          <w:bCs/>
          <w:color w:val="auto"/>
          <w:kern w:val="0"/>
          <w:szCs w:val="21"/>
          <w:highlight w:val="none"/>
        </w:rPr>
        <w:t>，各楼层按消防要求设置消防水嘴、消防水带及消防箱，总包必须确保任何情况下各楼层消防水及消防设施可满足消防要求，因施工需要并经发包人批准消防水管已拆除的情况除外。</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临时用电主电缆必须架空，各楼栋每层设置不少于一个二级电箱供各分包单位使用，各楼层电箱拆除时必须经发包人书面同意。</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FangSong,Bold"/>
          <w:bCs/>
          <w:color w:val="auto"/>
          <w:kern w:val="0"/>
          <w:szCs w:val="21"/>
          <w:highlight w:val="none"/>
        </w:rPr>
        <w:t>安装工程水电调试所产生水电费用由总包负责承担，包括楼层正式用水电的调试，直至该楼栋正式交付之日止；精装修期间水电费用由总包和精装修单位按表分摊费用，但总包不得以比例协调为由对精装修单位进行停水停电。否则将承担一般违约责任</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ascii="宋体" w:hAnsi="宋体" w:cs="仿宋"/>
          <w:bCs/>
          <w:color w:val="auto"/>
          <w:kern w:val="0"/>
          <w:szCs w:val="21"/>
          <w:highlight w:val="none"/>
        </w:rPr>
        <w:t>地库内按楼栋划分管理区域后，各栋范围内必须要有独立的二级配电箱供分包单位使用。</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ascii="宋体" w:hAnsi="宋体" w:cs="仿宋"/>
          <w:bCs/>
          <w:color w:val="auto"/>
          <w:kern w:val="0"/>
          <w:szCs w:val="21"/>
          <w:highlight w:val="none"/>
        </w:rPr>
        <w:t>提供</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售楼部、样板房、园林用电的电缆及专用二级箱含开关，电缆及二级箱要求至样板房所在楼层电井或指定位置，费用由总包承担。</w:t>
      </w:r>
    </w:p>
    <w:p>
      <w:pPr>
        <w:numPr>
          <w:ilvl w:val="0"/>
          <w:numId w:val="11"/>
        </w:numPr>
        <w:autoSpaceDE w:val="0"/>
        <w:autoSpaceDN w:val="0"/>
        <w:adjustRightInd w:val="0"/>
        <w:spacing w:line="360" w:lineRule="auto"/>
        <w:jc w:val="left"/>
        <w:rPr>
          <w:rFonts w:ascii="宋体" w:hAnsi="宋体" w:cs="仿宋"/>
          <w:bCs/>
          <w:color w:val="auto"/>
          <w:kern w:val="0"/>
          <w:szCs w:val="21"/>
          <w:highlight w:val="none"/>
        </w:rPr>
      </w:pPr>
      <w:r>
        <w:rPr>
          <w:rFonts w:ascii="宋体" w:hAnsi="宋体" w:cs="仿宋"/>
          <w:bCs/>
          <w:color w:val="auto"/>
          <w:kern w:val="0"/>
          <w:szCs w:val="21"/>
          <w:highlight w:val="none"/>
        </w:rPr>
        <w:t>总包所有用电设备及电箱必须定期做好安全检查及巡视并做好纪录，二级箱要求每</w:t>
      </w:r>
      <w:r>
        <w:rPr>
          <w:rFonts w:hint="eastAsia" w:ascii="宋体" w:hAnsi="宋体" w:cs="仿宋"/>
          <w:bCs/>
          <w:color w:val="auto"/>
          <w:kern w:val="0"/>
          <w:szCs w:val="21"/>
          <w:highlight w:val="none"/>
        </w:rPr>
        <w:t>天</w:t>
      </w:r>
      <w:r>
        <w:rPr>
          <w:rFonts w:ascii="宋体" w:hAnsi="宋体" w:cs="仿宋"/>
          <w:bCs/>
          <w:color w:val="auto"/>
          <w:kern w:val="0"/>
          <w:szCs w:val="21"/>
          <w:highlight w:val="none"/>
        </w:rPr>
        <w:t>检查不少于一次</w:t>
      </w:r>
      <w:r>
        <w:rPr>
          <w:rFonts w:hint="eastAsia" w:ascii="宋体" w:hAnsi="宋体" w:cs="仿宋"/>
          <w:bCs/>
          <w:color w:val="auto"/>
          <w:kern w:val="0"/>
          <w:szCs w:val="21"/>
          <w:highlight w:val="none"/>
        </w:rPr>
        <w:t>，</w:t>
      </w:r>
      <w:r>
        <w:rPr>
          <w:rFonts w:hint="eastAsia" w:ascii="宋体" w:hAnsi="宋体" w:cs="仿宋"/>
          <w:color w:val="auto"/>
          <w:kern w:val="0"/>
          <w:highlight w:val="none"/>
        </w:rPr>
        <w:t>三级箱每天不少于一次</w:t>
      </w:r>
      <w:r>
        <w:rPr>
          <w:rFonts w:ascii="宋体" w:hAnsi="宋体" w:cs="仿宋"/>
          <w:bCs/>
          <w:color w:val="auto"/>
          <w:kern w:val="0"/>
          <w:szCs w:val="21"/>
          <w:highlight w:val="none"/>
        </w:rPr>
        <w:t>。</w:t>
      </w:r>
    </w:p>
    <w:p>
      <w:pPr>
        <w:numPr>
          <w:ilvl w:val="0"/>
          <w:numId w:val="11"/>
        </w:numPr>
        <w:autoSpaceDE w:val="0"/>
        <w:autoSpaceDN w:val="0"/>
        <w:adjustRightInd w:val="0"/>
        <w:spacing w:line="360" w:lineRule="auto"/>
        <w:jc w:val="left"/>
        <w:rPr>
          <w:color w:val="auto"/>
          <w:highlight w:val="none"/>
        </w:rPr>
      </w:pPr>
      <w:r>
        <w:rPr>
          <w:rFonts w:ascii="宋体" w:hAnsi="宋体" w:cs="仿宋"/>
          <w:color w:val="auto"/>
          <w:kern w:val="0"/>
          <w:highlight w:val="none"/>
        </w:rPr>
        <w:t>各楼栋电梯调试及运行（包括售楼电梯）所需的电缆及产生的电费由</w:t>
      </w:r>
      <w:r>
        <w:rPr>
          <w:rFonts w:hint="eastAsia" w:ascii="宋体" w:hAnsi="宋体" w:cs="仿宋"/>
          <w:color w:val="auto"/>
          <w:kern w:val="0"/>
          <w:highlight w:val="none"/>
        </w:rPr>
        <w:t>承包人</w:t>
      </w:r>
      <w:r>
        <w:rPr>
          <w:rFonts w:ascii="宋体" w:hAnsi="宋体" w:cs="仿宋"/>
          <w:color w:val="auto"/>
          <w:kern w:val="0"/>
          <w:highlight w:val="none"/>
        </w:rPr>
        <w:t>负责，电缆要求至各栋电梯机房。</w:t>
      </w:r>
    </w:p>
    <w:p>
      <w:pPr>
        <w:autoSpaceDE w:val="0"/>
        <w:autoSpaceDN w:val="0"/>
        <w:adjustRightInd w:val="0"/>
        <w:spacing w:line="360" w:lineRule="auto"/>
        <w:ind w:left="420" w:leftChars="200" w:firstLine="420" w:firstLineChars="200"/>
        <w:jc w:val="left"/>
        <w:rPr>
          <w:bCs/>
          <w:color w:val="auto"/>
          <w:highlight w:val="none"/>
        </w:rPr>
      </w:pPr>
      <w:r>
        <w:rPr>
          <w:rFonts w:hint="eastAsia"/>
          <w:bCs/>
          <w:color w:val="auto"/>
          <w:highlight w:val="none"/>
        </w:rPr>
        <w:t>各楼栋电梯安装及运行调试阶段：承包人负责提供满足电梯安装调试的专用电箱并设置电表，电梯专用电箱出线至电梯双电源切换箱上端电缆敷设由承包人负责，电梯双电源切换箱出线至电梯自带控制箱及电梯控制箱出线至电梯电机的电缆敷设由电梯安装单位负责，电梯安装调试过程中产生的电费由电梯安装单位负责。</w:t>
      </w:r>
    </w:p>
    <w:p>
      <w:pPr>
        <w:autoSpaceDE w:val="0"/>
        <w:autoSpaceDN w:val="0"/>
        <w:adjustRightInd w:val="0"/>
        <w:spacing w:line="360" w:lineRule="auto"/>
        <w:ind w:left="420" w:leftChars="200" w:firstLine="420" w:firstLineChars="200"/>
        <w:jc w:val="left"/>
        <w:rPr>
          <w:bCs/>
          <w:color w:val="auto"/>
          <w:highlight w:val="none"/>
        </w:rPr>
      </w:pPr>
      <w:r>
        <w:rPr>
          <w:rFonts w:hint="eastAsia"/>
          <w:bCs/>
          <w:color w:val="auto"/>
          <w:highlight w:val="none"/>
        </w:rPr>
        <w:t>各楼栋电梯在正式移交物业前施工过程中使用阶段：项目正式永久电开通前，承包人负责提供满足电梯运行的专用电箱并设置电表，电梯专用电箱出线至电梯双电源切换箱以及电梯双电源切换箱出线至电梯自带控制箱的电缆敷设由承包人负责，电梯控制箱出线至电梯电机的电缆敷设由电梯安装单位负责，项目正式永久电开通后，承包人负责公变电房低压出线端至电梯双电源切换箱的电缆敷设，以替换原有电梯专用箱供电。电梯作为施工电梯使用运行产生的电费由二次精装单位负责，电梯作为售楼电梯使用运行产生的电费由承包人单位负责。</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（9）全部临水临电临排方案需于进场后</w:t>
      </w:r>
      <w:r>
        <w:rPr>
          <w:rFonts w:ascii="宋体" w:hAnsi="宋体" w:cs="仿宋"/>
          <w:bCs/>
          <w:color w:val="auto"/>
          <w:kern w:val="0"/>
          <w:szCs w:val="21"/>
          <w:highlight w:val="none"/>
        </w:rPr>
        <w:t>15</w:t>
      </w:r>
      <w:r>
        <w:rPr>
          <w:rFonts w:hint="eastAsia" w:ascii="宋体" w:hAnsi="宋体" w:cs="仿宋"/>
          <w:bCs/>
          <w:color w:val="auto"/>
          <w:kern w:val="0"/>
          <w:szCs w:val="21"/>
          <w:highlight w:val="none"/>
        </w:rPr>
        <w:t>天提交监理及发包人审批，审批通过后才可施工。若承包单位推迟提交上述方案，监理及建设方可对承包单位处以</w:t>
      </w:r>
      <w:r>
        <w:rPr>
          <w:rFonts w:ascii="宋体" w:hAnsi="宋体" w:cs="仿宋"/>
          <w:bCs/>
          <w:color w:val="auto"/>
          <w:kern w:val="0"/>
          <w:szCs w:val="21"/>
          <w:highlight w:val="none"/>
        </w:rPr>
        <w:t>1</w:t>
      </w:r>
      <w:r>
        <w:rPr>
          <w:rFonts w:hint="eastAsia" w:ascii="宋体" w:hAnsi="宋体" w:cs="仿宋"/>
          <w:bCs/>
          <w:color w:val="auto"/>
          <w:kern w:val="0"/>
          <w:szCs w:val="21"/>
          <w:highlight w:val="none"/>
        </w:rPr>
        <w:t>万元</w:t>
      </w:r>
      <w:r>
        <w:rPr>
          <w:rFonts w:ascii="宋体" w:hAnsi="宋体" w:cs="仿宋"/>
          <w:bCs/>
          <w:color w:val="auto"/>
          <w:kern w:val="0"/>
          <w:szCs w:val="21"/>
          <w:highlight w:val="none"/>
        </w:rPr>
        <w:t>/</w:t>
      </w:r>
      <w:r>
        <w:rPr>
          <w:rFonts w:hint="eastAsia" w:ascii="宋体" w:hAnsi="宋体" w:cs="仿宋"/>
          <w:bCs/>
          <w:color w:val="auto"/>
          <w:kern w:val="0"/>
          <w:szCs w:val="21"/>
          <w:highlight w:val="none"/>
        </w:rPr>
        <w:t>天的违约金。若方案未审批通过即现场施工临水临电临排方案，承包单位需按审批后的方案进行整改外，在整改完成前，监理及建设方可对承包单位处以</w:t>
      </w:r>
      <w:r>
        <w:rPr>
          <w:rFonts w:ascii="宋体" w:hAnsi="宋体" w:cs="仿宋"/>
          <w:bCs/>
          <w:color w:val="auto"/>
          <w:kern w:val="0"/>
          <w:szCs w:val="21"/>
          <w:highlight w:val="none"/>
        </w:rPr>
        <w:t>2万元/天的</w:t>
      </w:r>
      <w:r>
        <w:rPr>
          <w:rFonts w:hint="eastAsia" w:ascii="宋体" w:hAnsi="宋体" w:cs="仿宋"/>
          <w:bCs/>
          <w:color w:val="auto"/>
          <w:kern w:val="0"/>
          <w:szCs w:val="21"/>
          <w:highlight w:val="none"/>
        </w:rPr>
        <w:t>违约金。</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FangSong,Bold"/>
          <w:bCs/>
          <w:color w:val="auto"/>
          <w:kern w:val="0"/>
          <w:szCs w:val="21"/>
          <w:highlight w:val="none"/>
        </w:rPr>
        <w:t>3.</w:t>
      </w:r>
      <w:r>
        <w:rPr>
          <w:rFonts w:ascii="宋体" w:hAnsi="宋体" w:cs="仿宋"/>
          <w:bCs/>
          <w:color w:val="auto"/>
          <w:kern w:val="0"/>
          <w:szCs w:val="21"/>
          <w:highlight w:val="none"/>
        </w:rPr>
        <w:t xml:space="preserve">5 </w:t>
      </w:r>
      <w:r>
        <w:rPr>
          <w:rFonts w:hint="eastAsia" w:ascii="宋体" w:hAnsi="宋体" w:cs="仿宋"/>
          <w:bCs/>
          <w:color w:val="auto"/>
          <w:kern w:val="0"/>
          <w:szCs w:val="21"/>
          <w:highlight w:val="none"/>
        </w:rPr>
        <w:t>塔吊要求在相应区域承台或底板施工前完成安装通过所有相关验收，取得验收资料并投入正常使用，布置方案及拆除时间必须征得发包人书面同意。</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FangSong,Bold"/>
          <w:bCs/>
          <w:color w:val="auto"/>
          <w:kern w:val="0"/>
          <w:szCs w:val="21"/>
          <w:highlight w:val="none"/>
        </w:rPr>
        <w:t xml:space="preserve">3.6 </w:t>
      </w:r>
      <w:r>
        <w:rPr>
          <w:rFonts w:ascii="宋体" w:hAnsi="宋体" w:cs="仿宋"/>
          <w:bCs/>
          <w:color w:val="auto"/>
          <w:kern w:val="0"/>
          <w:szCs w:val="21"/>
          <w:highlight w:val="none"/>
        </w:rPr>
        <w:t>所有施工电梯要求必须是全新设备，每笼要求能同时容纳不少于4</w:t>
      </w:r>
      <w:r>
        <w:rPr>
          <w:rFonts w:hint="eastAsia" w:ascii="宋体" w:hAnsi="宋体" w:cs="仿宋"/>
          <w:bCs/>
          <w:color w:val="auto"/>
          <w:kern w:val="0"/>
          <w:szCs w:val="21"/>
          <w:highlight w:val="none"/>
        </w:rPr>
        <w:t>台常用斗车，在相应楼栋完成到5层结构时安装完成并通过所有相关验收，取得验收资料并投入正常使用，首层通道、楼层通道及防护棚必须符合发包人及规范要求，布置方案及拆除时间必须征得发包人书面同意。</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FangSong,Bold"/>
          <w:bCs/>
          <w:color w:val="auto"/>
          <w:kern w:val="0"/>
          <w:szCs w:val="21"/>
          <w:highlight w:val="none"/>
        </w:rPr>
        <w:t xml:space="preserve">3.7 </w:t>
      </w:r>
      <w:r>
        <w:rPr>
          <w:rFonts w:hint="eastAsia" w:ascii="宋体" w:hAnsi="宋体" w:cs="仿宋"/>
          <w:bCs/>
          <w:color w:val="auto"/>
          <w:kern w:val="0"/>
          <w:szCs w:val="21"/>
          <w:highlight w:val="none"/>
        </w:rPr>
        <w:t>楼层人货梯门要求采用钢质成品门，施工前样式报发包人确认。人货梯门与外架及跑道间正立面侧面均要求进行硬质材料全封闭，要求采用模板或钢质定型门套，样式报发包人确认。人货梯门正面楼层号标识清楚。</w:t>
      </w:r>
    </w:p>
    <w:p>
      <w:pPr>
        <w:autoSpaceDE w:val="0"/>
        <w:autoSpaceDN w:val="0"/>
        <w:adjustRightInd w:val="0"/>
        <w:spacing w:line="360" w:lineRule="auto"/>
        <w:ind w:firstLine="420" w:firstLineChars="200"/>
        <w:jc w:val="left"/>
        <w:rPr>
          <w:rFonts w:ascii="宋体" w:hAnsi="宋体" w:cs="FangSong,Bold"/>
          <w:bCs/>
          <w:color w:val="auto"/>
          <w:kern w:val="0"/>
          <w:szCs w:val="21"/>
          <w:highlight w:val="none"/>
        </w:rPr>
      </w:pPr>
      <w:r>
        <w:rPr>
          <w:rFonts w:ascii="宋体" w:hAnsi="宋体" w:cs="FangSong,Bold"/>
          <w:bCs/>
          <w:color w:val="auto"/>
          <w:kern w:val="0"/>
          <w:szCs w:val="21"/>
          <w:highlight w:val="none"/>
        </w:rPr>
        <w:t xml:space="preserve">3.8 </w:t>
      </w:r>
      <w:r>
        <w:rPr>
          <w:rFonts w:hint="eastAsia" w:ascii="宋体" w:hAnsi="宋体" w:cs="FangSong,Bold"/>
          <w:bCs/>
          <w:color w:val="auto"/>
          <w:kern w:val="0"/>
          <w:szCs w:val="21"/>
          <w:highlight w:val="none"/>
        </w:rPr>
        <w:t>施工电梯、塔吊必须无偿提供给分包单位使用，因分包单位施工需要时必须</w:t>
      </w:r>
      <w:r>
        <w:rPr>
          <w:rFonts w:ascii="宋体" w:hAnsi="宋体" w:cs="FangSong,Bold"/>
          <w:bCs/>
          <w:color w:val="auto"/>
          <w:kern w:val="0"/>
          <w:szCs w:val="21"/>
          <w:highlight w:val="none"/>
        </w:rPr>
        <w:t xml:space="preserve">24 </w:t>
      </w:r>
      <w:r>
        <w:rPr>
          <w:rFonts w:hint="eastAsia" w:ascii="宋体" w:hAnsi="宋体" w:cs="FangSong,Bold"/>
          <w:bCs/>
          <w:color w:val="auto"/>
          <w:kern w:val="0"/>
          <w:szCs w:val="21"/>
          <w:highlight w:val="none"/>
        </w:rPr>
        <w:t>小时加班，不得收取分包单位任何费用，费用在措施费中包干。</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FangSong,Bold"/>
          <w:bCs/>
          <w:color w:val="auto"/>
          <w:kern w:val="0"/>
          <w:szCs w:val="21"/>
          <w:highlight w:val="none"/>
        </w:rPr>
        <w:t>3.9</w:t>
      </w:r>
      <w:r>
        <w:rPr>
          <w:rFonts w:hint="eastAsia" w:ascii="宋体" w:hAnsi="宋体" w:cs="仿宋"/>
          <w:bCs/>
          <w:color w:val="auto"/>
          <w:kern w:val="0"/>
          <w:szCs w:val="21"/>
          <w:highlight w:val="none"/>
        </w:rPr>
        <w:t>施工电梯必须每楼层设置呼叫按钮或呼叫器，并确保可正常使用，如出现异常未能及时恢复</w:t>
      </w:r>
      <w:r>
        <w:rPr>
          <w:rFonts w:hint="eastAsia" w:ascii="宋体" w:hAnsi="宋体" w:cs="FangSong,Bold"/>
          <w:bCs/>
          <w:color w:val="auto"/>
          <w:kern w:val="0"/>
          <w:szCs w:val="21"/>
          <w:highlight w:val="none"/>
        </w:rPr>
        <w:t>且超过</w:t>
      </w:r>
      <w:r>
        <w:rPr>
          <w:rFonts w:ascii="宋体" w:hAnsi="宋体" w:cs="FangSong,Bold"/>
          <w:bCs/>
          <w:color w:val="auto"/>
          <w:kern w:val="0"/>
          <w:szCs w:val="21"/>
          <w:highlight w:val="none"/>
        </w:rPr>
        <w:t xml:space="preserve">1 </w:t>
      </w:r>
      <w:r>
        <w:rPr>
          <w:rFonts w:hint="eastAsia" w:ascii="宋体" w:hAnsi="宋体" w:cs="FangSong,Bold"/>
          <w:bCs/>
          <w:color w:val="auto"/>
          <w:kern w:val="0"/>
          <w:szCs w:val="21"/>
          <w:highlight w:val="none"/>
        </w:rPr>
        <w:t>天的</w:t>
      </w:r>
      <w:r>
        <w:rPr>
          <w:rFonts w:hint="eastAsia" w:ascii="宋体" w:hAnsi="宋体" w:cs="仿宋"/>
          <w:bCs/>
          <w:color w:val="auto"/>
          <w:kern w:val="0"/>
          <w:szCs w:val="21"/>
          <w:highlight w:val="none"/>
        </w:rPr>
        <w:t>，每发生一次，</w:t>
      </w:r>
      <w:r>
        <w:rPr>
          <w:rFonts w:hint="eastAsia" w:ascii="宋体" w:hAnsi="宋体" w:cs="FangSong,Bold"/>
          <w:bCs/>
          <w:color w:val="auto"/>
          <w:kern w:val="0"/>
          <w:szCs w:val="21"/>
          <w:highlight w:val="none"/>
        </w:rPr>
        <w:t>逾期</w:t>
      </w:r>
      <w:r>
        <w:rPr>
          <w:rFonts w:hint="eastAsia" w:ascii="宋体" w:hAnsi="宋体" w:cs="仿宋"/>
          <w:bCs/>
          <w:color w:val="auto"/>
          <w:kern w:val="0"/>
          <w:szCs w:val="21"/>
          <w:highlight w:val="none"/>
        </w:rPr>
        <w:t>发包人将对总包处以不少于</w:t>
      </w:r>
      <w:r>
        <w:rPr>
          <w:rFonts w:ascii="宋体" w:hAnsi="宋体" w:cs="仿宋"/>
          <w:bCs/>
          <w:color w:val="auto"/>
          <w:kern w:val="0"/>
          <w:szCs w:val="21"/>
          <w:highlight w:val="none"/>
        </w:rPr>
        <w:t>100</w:t>
      </w:r>
      <w:r>
        <w:rPr>
          <w:rFonts w:hint="eastAsia" w:ascii="宋体" w:hAnsi="宋体" w:cs="仿宋"/>
          <w:bCs/>
          <w:color w:val="auto"/>
          <w:kern w:val="0"/>
          <w:szCs w:val="21"/>
          <w:highlight w:val="none"/>
        </w:rPr>
        <w:t>元</w:t>
      </w:r>
      <w:r>
        <w:rPr>
          <w:rFonts w:ascii="宋体" w:hAnsi="宋体" w:cs="仿宋"/>
          <w:bCs/>
          <w:color w:val="auto"/>
          <w:kern w:val="0"/>
          <w:szCs w:val="21"/>
          <w:highlight w:val="none"/>
        </w:rPr>
        <w:t>/</w:t>
      </w:r>
      <w:r>
        <w:rPr>
          <w:rFonts w:hint="eastAsia" w:ascii="宋体" w:hAnsi="宋体" w:cs="仿宋"/>
          <w:bCs/>
          <w:color w:val="auto"/>
          <w:kern w:val="0"/>
          <w:szCs w:val="21"/>
          <w:highlight w:val="none"/>
        </w:rPr>
        <w:t>个/天的违约金。</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FangSong,Bold"/>
          <w:bCs/>
          <w:color w:val="auto"/>
          <w:kern w:val="0"/>
          <w:szCs w:val="21"/>
          <w:highlight w:val="none"/>
        </w:rPr>
        <w:t>3.10</w:t>
      </w:r>
      <w:r>
        <w:rPr>
          <w:rFonts w:hint="eastAsia" w:ascii="宋体" w:hAnsi="宋体" w:cs="仿宋"/>
          <w:bCs/>
          <w:color w:val="auto"/>
          <w:kern w:val="0"/>
          <w:szCs w:val="21"/>
          <w:highlight w:val="none"/>
        </w:rPr>
        <w:t>地库每间隔</w:t>
      </w:r>
      <w:r>
        <w:rPr>
          <w:rFonts w:ascii="宋体" w:hAnsi="宋体" w:cs="仿宋"/>
          <w:bCs/>
          <w:color w:val="auto"/>
          <w:kern w:val="0"/>
          <w:szCs w:val="21"/>
          <w:highlight w:val="none"/>
        </w:rPr>
        <w:t>30</w:t>
      </w:r>
      <w:r>
        <w:rPr>
          <w:rFonts w:hint="eastAsia" w:ascii="宋体" w:hAnsi="宋体" w:cs="仿宋"/>
          <w:bCs/>
          <w:color w:val="auto"/>
          <w:kern w:val="0"/>
          <w:szCs w:val="21"/>
          <w:highlight w:val="none"/>
        </w:rPr>
        <w:t>米，各楼层人货梯口、走火梯口、外架安全梯均需设置低压照明，并设防护灯罩，总包负责进行维护，如出现异常未能及时恢复</w:t>
      </w:r>
      <w:r>
        <w:rPr>
          <w:rFonts w:hint="eastAsia" w:ascii="宋体" w:hAnsi="宋体" w:cs="FangSong,Bold"/>
          <w:bCs/>
          <w:color w:val="auto"/>
          <w:kern w:val="0"/>
          <w:szCs w:val="21"/>
          <w:highlight w:val="none"/>
        </w:rPr>
        <w:t>且超过</w:t>
      </w:r>
      <w:r>
        <w:rPr>
          <w:rFonts w:ascii="宋体" w:hAnsi="宋体" w:cs="FangSong,Bold"/>
          <w:bCs/>
          <w:color w:val="auto"/>
          <w:kern w:val="0"/>
          <w:szCs w:val="21"/>
          <w:highlight w:val="none"/>
        </w:rPr>
        <w:t xml:space="preserve">1 </w:t>
      </w:r>
      <w:r>
        <w:rPr>
          <w:rFonts w:hint="eastAsia" w:ascii="宋体" w:hAnsi="宋体" w:cs="FangSong,Bold"/>
          <w:bCs/>
          <w:color w:val="auto"/>
          <w:kern w:val="0"/>
          <w:szCs w:val="21"/>
          <w:highlight w:val="none"/>
        </w:rPr>
        <w:t>天</w:t>
      </w:r>
      <w:r>
        <w:rPr>
          <w:rFonts w:hint="eastAsia" w:ascii="宋体" w:hAnsi="宋体" w:cs="仿宋"/>
          <w:bCs/>
          <w:color w:val="auto"/>
          <w:kern w:val="0"/>
          <w:szCs w:val="21"/>
          <w:highlight w:val="none"/>
        </w:rPr>
        <w:t>的，每发生一次，</w:t>
      </w:r>
      <w:r>
        <w:rPr>
          <w:rFonts w:hint="eastAsia" w:ascii="宋体" w:hAnsi="宋体" w:cs="FangSong,Bold"/>
          <w:bCs/>
          <w:color w:val="auto"/>
          <w:kern w:val="0"/>
          <w:szCs w:val="21"/>
          <w:highlight w:val="none"/>
        </w:rPr>
        <w:t>逾期</w:t>
      </w:r>
      <w:r>
        <w:rPr>
          <w:rFonts w:hint="eastAsia" w:ascii="宋体" w:hAnsi="宋体" w:cs="仿宋"/>
          <w:bCs/>
          <w:color w:val="auto"/>
          <w:kern w:val="0"/>
          <w:szCs w:val="21"/>
          <w:highlight w:val="none"/>
        </w:rPr>
        <w:t>发包人将对总包处以不少于</w:t>
      </w:r>
      <w:r>
        <w:rPr>
          <w:rFonts w:ascii="宋体" w:hAnsi="宋体" w:cs="仿宋"/>
          <w:bCs/>
          <w:color w:val="auto"/>
          <w:kern w:val="0"/>
          <w:szCs w:val="21"/>
          <w:highlight w:val="none"/>
        </w:rPr>
        <w:t>100</w:t>
      </w:r>
      <w:r>
        <w:rPr>
          <w:rFonts w:hint="eastAsia" w:ascii="宋体" w:hAnsi="宋体" w:cs="仿宋"/>
          <w:bCs/>
          <w:color w:val="auto"/>
          <w:kern w:val="0"/>
          <w:szCs w:val="21"/>
          <w:highlight w:val="none"/>
        </w:rPr>
        <w:t>元</w:t>
      </w:r>
      <w:r>
        <w:rPr>
          <w:rFonts w:ascii="宋体" w:hAnsi="宋体" w:cs="仿宋"/>
          <w:bCs/>
          <w:color w:val="auto"/>
          <w:kern w:val="0"/>
          <w:szCs w:val="21"/>
          <w:highlight w:val="none"/>
        </w:rPr>
        <w:t>/</w:t>
      </w:r>
      <w:r>
        <w:rPr>
          <w:rFonts w:hint="eastAsia" w:ascii="宋体" w:hAnsi="宋体" w:cs="仿宋"/>
          <w:bCs/>
          <w:color w:val="auto"/>
          <w:kern w:val="0"/>
          <w:szCs w:val="21"/>
          <w:highlight w:val="none"/>
        </w:rPr>
        <w:t>灯/天的违约金。</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FangSong,Bold"/>
          <w:bCs/>
          <w:color w:val="auto"/>
          <w:kern w:val="0"/>
          <w:szCs w:val="21"/>
          <w:highlight w:val="none"/>
        </w:rPr>
        <w:t>3.11</w:t>
      </w:r>
      <w:r>
        <w:rPr>
          <w:rFonts w:hint="eastAsia" w:ascii="宋体" w:hAnsi="宋体" w:cs="仿宋"/>
          <w:bCs/>
          <w:color w:val="auto"/>
          <w:kern w:val="0"/>
          <w:szCs w:val="21"/>
          <w:highlight w:val="none"/>
        </w:rPr>
        <w:t>总包移交精装修施工时，楼层需要带水作业，直至装修完成。如拆除临水管后，须确保楼层装修用水及消防用水。</w:t>
      </w:r>
    </w:p>
    <w:p>
      <w:pPr>
        <w:pStyle w:val="714"/>
        <w:spacing w:line="360" w:lineRule="auto"/>
        <w:ind w:firstLine="424" w:firstLineChars="202"/>
        <w:jc w:val="left"/>
        <w:rPr>
          <w:rFonts w:ascii="宋体" w:hAnsi="宋体" w:cs="仿宋"/>
          <w:bCs/>
          <w:color w:val="auto"/>
          <w:kern w:val="0"/>
          <w:szCs w:val="21"/>
          <w:highlight w:val="none"/>
        </w:rPr>
      </w:pPr>
      <w:r>
        <w:rPr>
          <w:rFonts w:ascii="宋体" w:hAnsi="宋体" w:cs="仿宋"/>
          <w:bCs/>
          <w:color w:val="auto"/>
          <w:kern w:val="0"/>
          <w:szCs w:val="21"/>
          <w:highlight w:val="none"/>
        </w:rPr>
        <w:t>3.12总包必须在楼层上设置简易式流动厕所，每5层至少设置一个，需设置独立临时排水管，并接入化粪池后才能排</w:t>
      </w:r>
      <w:r>
        <w:rPr>
          <w:rFonts w:hint="eastAsia" w:ascii="宋体" w:hAnsi="宋体" w:cs="仿宋"/>
          <w:bCs/>
          <w:color w:val="auto"/>
          <w:kern w:val="0"/>
          <w:szCs w:val="21"/>
          <w:highlight w:val="none"/>
        </w:rPr>
        <w:t>。</w:t>
      </w:r>
    </w:p>
    <w:p>
      <w:pPr>
        <w:autoSpaceDE w:val="0"/>
        <w:autoSpaceDN w:val="0"/>
        <w:adjustRightInd w:val="0"/>
        <w:spacing w:line="480" w:lineRule="exact"/>
        <w:ind w:firstLine="420" w:firstLineChars="200"/>
        <w:jc w:val="left"/>
        <w:rPr>
          <w:rFonts w:ascii="宋体" w:hAnsi="宋体" w:cs="仿宋"/>
          <w:color w:val="auto"/>
          <w:kern w:val="0"/>
          <w:highlight w:val="none"/>
        </w:rPr>
      </w:pPr>
      <w:r>
        <w:rPr>
          <w:rFonts w:ascii="宋体" w:hAnsi="宋体" w:cs="仿宋"/>
          <w:color w:val="auto"/>
          <w:kern w:val="0"/>
          <w:highlight w:val="none"/>
        </w:rPr>
        <w:t>3.13主要机械配备（型号暂定）</w:t>
      </w:r>
    </w:p>
    <w:p>
      <w:pPr>
        <w:autoSpaceDE w:val="0"/>
        <w:autoSpaceDN w:val="0"/>
        <w:adjustRightInd w:val="0"/>
        <w:spacing w:line="480" w:lineRule="exact"/>
        <w:jc w:val="center"/>
        <w:rPr>
          <w:rFonts w:ascii="宋体" w:hAnsi="宋体" w:cs="仿宋"/>
          <w:color w:val="auto"/>
          <w:kern w:val="0"/>
          <w:highlight w:val="none"/>
        </w:rPr>
      </w:pPr>
      <w:r>
        <w:rPr>
          <w:rFonts w:hint="eastAsia" w:ascii="宋体" w:hAnsi="宋体" w:cs="仿宋"/>
          <w:color w:val="auto"/>
          <w:kern w:val="0"/>
          <w:highlight w:val="none"/>
        </w:rPr>
        <w:t>主要机械机具投入表</w:t>
      </w:r>
    </w:p>
    <w:tbl>
      <w:tblPr>
        <w:tblStyle w:val="63"/>
        <w:tblW w:w="82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1"/>
        <w:gridCol w:w="1382"/>
        <w:gridCol w:w="1384"/>
        <w:gridCol w:w="1384"/>
        <w:gridCol w:w="1384"/>
        <w:gridCol w:w="1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1" w:type="dxa"/>
            <w:tcBorders>
              <w:top w:val="single" w:color="auto" w:sz="4" w:space="0"/>
              <w:left w:val="single" w:color="auto" w:sz="4" w:space="0"/>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序号</w:t>
            </w:r>
          </w:p>
        </w:tc>
        <w:tc>
          <w:tcPr>
            <w:tcW w:w="1382"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设</w:t>
            </w:r>
            <w:r>
              <w:rPr>
                <w:rFonts w:ascii="宋体" w:hAnsi="宋体" w:cs="仿宋"/>
                <w:color w:val="auto"/>
                <w:kern w:val="0"/>
                <w:highlight w:val="none"/>
              </w:rPr>
              <w:t xml:space="preserve"> </w:t>
            </w:r>
            <w:r>
              <w:rPr>
                <w:rFonts w:hint="eastAsia" w:ascii="宋体" w:hAnsi="宋体" w:cs="仿宋"/>
                <w:color w:val="auto"/>
                <w:kern w:val="0"/>
                <w:highlight w:val="none"/>
              </w:rPr>
              <w:t>备</w:t>
            </w:r>
            <w:r>
              <w:rPr>
                <w:rFonts w:ascii="宋体" w:hAnsi="宋体" w:cs="仿宋"/>
                <w:color w:val="auto"/>
                <w:kern w:val="0"/>
                <w:highlight w:val="none"/>
              </w:rPr>
              <w:t xml:space="preserve"> </w:t>
            </w:r>
            <w:r>
              <w:rPr>
                <w:rFonts w:hint="eastAsia" w:ascii="宋体" w:hAnsi="宋体" w:cs="仿宋"/>
                <w:color w:val="auto"/>
                <w:kern w:val="0"/>
                <w:highlight w:val="none"/>
              </w:rPr>
              <w:t>名</w:t>
            </w:r>
            <w:r>
              <w:rPr>
                <w:rFonts w:ascii="宋体" w:hAnsi="宋体" w:cs="仿宋"/>
                <w:color w:val="auto"/>
                <w:kern w:val="0"/>
                <w:highlight w:val="none"/>
              </w:rPr>
              <w:t xml:space="preserve"> </w:t>
            </w:r>
            <w:r>
              <w:rPr>
                <w:rFonts w:hint="eastAsia" w:ascii="宋体" w:hAnsi="宋体" w:cs="仿宋"/>
                <w:color w:val="auto"/>
                <w:kern w:val="0"/>
                <w:highlight w:val="none"/>
              </w:rPr>
              <w:t>称</w:t>
            </w:r>
          </w:p>
        </w:tc>
        <w:tc>
          <w:tcPr>
            <w:tcW w:w="1384"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设</w:t>
            </w:r>
            <w:r>
              <w:rPr>
                <w:rFonts w:ascii="宋体" w:hAnsi="宋体" w:cs="仿宋"/>
                <w:color w:val="auto"/>
                <w:kern w:val="0"/>
                <w:highlight w:val="none"/>
              </w:rPr>
              <w:t xml:space="preserve"> </w:t>
            </w:r>
            <w:r>
              <w:rPr>
                <w:rFonts w:hint="eastAsia" w:ascii="宋体" w:hAnsi="宋体" w:cs="仿宋"/>
                <w:color w:val="auto"/>
                <w:kern w:val="0"/>
                <w:highlight w:val="none"/>
              </w:rPr>
              <w:t>备</w:t>
            </w:r>
            <w:r>
              <w:rPr>
                <w:rFonts w:ascii="宋体" w:hAnsi="宋体" w:cs="仿宋"/>
                <w:color w:val="auto"/>
                <w:kern w:val="0"/>
                <w:highlight w:val="none"/>
              </w:rPr>
              <w:t xml:space="preserve"> </w:t>
            </w:r>
            <w:r>
              <w:rPr>
                <w:rFonts w:hint="eastAsia" w:ascii="宋体" w:hAnsi="宋体" w:cs="仿宋"/>
                <w:color w:val="auto"/>
                <w:kern w:val="0"/>
                <w:highlight w:val="none"/>
              </w:rPr>
              <w:t>型</w:t>
            </w:r>
            <w:r>
              <w:rPr>
                <w:rFonts w:ascii="宋体" w:hAnsi="宋体" w:cs="仿宋"/>
                <w:color w:val="auto"/>
                <w:kern w:val="0"/>
                <w:highlight w:val="none"/>
              </w:rPr>
              <w:t xml:space="preserve"> </w:t>
            </w:r>
            <w:r>
              <w:rPr>
                <w:rFonts w:hint="eastAsia" w:ascii="宋体" w:hAnsi="宋体" w:cs="仿宋"/>
                <w:color w:val="auto"/>
                <w:kern w:val="0"/>
                <w:highlight w:val="none"/>
              </w:rPr>
              <w:t>号</w:t>
            </w:r>
          </w:p>
        </w:tc>
        <w:tc>
          <w:tcPr>
            <w:tcW w:w="1384"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单</w:t>
            </w:r>
            <w:r>
              <w:rPr>
                <w:rFonts w:ascii="宋体" w:hAnsi="宋体" w:cs="仿宋"/>
                <w:color w:val="auto"/>
                <w:kern w:val="0"/>
                <w:highlight w:val="none"/>
              </w:rPr>
              <w:t xml:space="preserve"> </w:t>
            </w:r>
            <w:r>
              <w:rPr>
                <w:rFonts w:hint="eastAsia" w:ascii="宋体" w:hAnsi="宋体" w:cs="仿宋"/>
                <w:color w:val="auto"/>
                <w:kern w:val="0"/>
                <w:highlight w:val="none"/>
              </w:rPr>
              <w:t>位</w:t>
            </w:r>
          </w:p>
        </w:tc>
        <w:tc>
          <w:tcPr>
            <w:tcW w:w="1384"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数</w:t>
            </w:r>
            <w:r>
              <w:rPr>
                <w:rFonts w:ascii="宋体" w:hAnsi="宋体" w:cs="仿宋"/>
                <w:color w:val="auto"/>
                <w:kern w:val="0"/>
                <w:highlight w:val="none"/>
              </w:rPr>
              <w:t xml:space="preserve"> </w:t>
            </w:r>
            <w:r>
              <w:rPr>
                <w:rFonts w:hint="eastAsia" w:ascii="宋体" w:hAnsi="宋体" w:cs="仿宋"/>
                <w:color w:val="auto"/>
                <w:kern w:val="0"/>
                <w:highlight w:val="none"/>
              </w:rPr>
              <w:t>量</w:t>
            </w:r>
          </w:p>
        </w:tc>
        <w:tc>
          <w:tcPr>
            <w:tcW w:w="1380"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备</w:t>
            </w:r>
            <w:r>
              <w:rPr>
                <w:rFonts w:ascii="宋体" w:hAnsi="宋体" w:cs="仿宋"/>
                <w:color w:val="auto"/>
                <w:kern w:val="0"/>
                <w:highlight w:val="none"/>
              </w:rPr>
              <w:t xml:space="preserve"> </w:t>
            </w:r>
            <w:r>
              <w:rPr>
                <w:rFonts w:hint="eastAsia" w:ascii="宋体" w:hAnsi="宋体" w:cs="仿宋"/>
                <w:color w:val="auto"/>
                <w:kern w:val="0"/>
                <w:highlight w:val="none"/>
              </w:rPr>
              <w:t>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1" w:type="dxa"/>
            <w:tcBorders>
              <w:top w:val="single" w:color="auto" w:sz="4" w:space="0"/>
              <w:left w:val="single" w:color="auto" w:sz="4" w:space="0"/>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ascii="宋体" w:hAnsi="宋体" w:cs="仿宋"/>
                <w:color w:val="auto"/>
                <w:kern w:val="0"/>
                <w:highlight w:val="none"/>
              </w:rPr>
              <w:t>1</w:t>
            </w:r>
          </w:p>
        </w:tc>
        <w:tc>
          <w:tcPr>
            <w:tcW w:w="1382" w:type="dxa"/>
            <w:tcBorders>
              <w:top w:val="single" w:color="auto" w:sz="4" w:space="0"/>
              <w:left w:val="nil"/>
              <w:bottom w:val="single" w:color="auto" w:sz="4" w:space="0"/>
              <w:right w:val="single" w:color="auto" w:sz="4" w:space="0"/>
            </w:tcBorders>
            <w:vAlign w:val="center"/>
          </w:tcPr>
          <w:p>
            <w:pPr>
              <w:widowControl/>
              <w:snapToGrid w:val="0"/>
              <w:spacing w:line="440" w:lineRule="exact"/>
              <w:jc w:val="center"/>
              <w:rPr>
                <w:rFonts w:ascii="宋体" w:hAnsi="宋体" w:cs="仿宋"/>
                <w:color w:val="auto"/>
                <w:kern w:val="0"/>
                <w:highlight w:val="none"/>
              </w:rPr>
            </w:pPr>
            <w:r>
              <w:rPr>
                <w:rFonts w:hint="eastAsia" w:ascii="宋体" w:hAnsi="宋体" w:cs="仿宋"/>
                <w:color w:val="auto"/>
                <w:kern w:val="0"/>
                <w:highlight w:val="none"/>
              </w:rPr>
              <w:t>塔吊</w:t>
            </w:r>
          </w:p>
        </w:tc>
        <w:tc>
          <w:tcPr>
            <w:tcW w:w="1384" w:type="dxa"/>
            <w:tcBorders>
              <w:top w:val="single" w:color="auto" w:sz="4" w:space="0"/>
              <w:left w:val="nil"/>
              <w:bottom w:val="single" w:color="auto" w:sz="4" w:space="0"/>
              <w:right w:val="single" w:color="auto" w:sz="4" w:space="0"/>
            </w:tcBorders>
            <w:vAlign w:val="center"/>
          </w:tcPr>
          <w:p>
            <w:pPr>
              <w:widowControl/>
              <w:snapToGrid w:val="0"/>
              <w:spacing w:line="440" w:lineRule="exact"/>
              <w:jc w:val="center"/>
              <w:rPr>
                <w:rFonts w:ascii="宋体" w:hAnsi="宋体" w:cs="仿宋"/>
                <w:color w:val="auto"/>
                <w:kern w:val="0"/>
                <w:highlight w:val="none"/>
              </w:rPr>
            </w:pPr>
            <w:r>
              <w:rPr>
                <w:rFonts w:hint="eastAsia" w:ascii="宋体" w:hAnsi="宋体" w:cs="仿宋"/>
                <w:color w:val="auto"/>
                <w:kern w:val="0"/>
                <w:highlight w:val="none"/>
              </w:rPr>
              <w:t>6513，截臂需</w:t>
            </w:r>
            <w:r>
              <w:rPr>
                <w:rFonts w:ascii="宋体" w:hAnsi="宋体" w:cs="仿宋"/>
                <w:color w:val="auto"/>
                <w:kern w:val="0"/>
                <w:highlight w:val="none"/>
              </w:rPr>
              <w:t>满足装配式需求</w:t>
            </w:r>
          </w:p>
        </w:tc>
        <w:tc>
          <w:tcPr>
            <w:tcW w:w="1384"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台</w:t>
            </w:r>
          </w:p>
        </w:tc>
        <w:tc>
          <w:tcPr>
            <w:tcW w:w="1384" w:type="dxa"/>
            <w:tcBorders>
              <w:top w:val="single" w:color="auto" w:sz="4" w:space="0"/>
              <w:left w:val="nil"/>
              <w:bottom w:val="single" w:color="auto" w:sz="4" w:space="0"/>
              <w:right w:val="single" w:color="auto" w:sz="4" w:space="0"/>
            </w:tcBorders>
            <w:vAlign w:val="center"/>
          </w:tcPr>
          <w:p>
            <w:pPr>
              <w:widowControl/>
              <w:snapToGrid w:val="0"/>
              <w:spacing w:line="440" w:lineRule="exact"/>
              <w:jc w:val="center"/>
              <w:rPr>
                <w:rFonts w:ascii="宋体" w:hAnsi="宋体" w:cs="仿宋"/>
                <w:color w:val="auto"/>
                <w:kern w:val="0"/>
                <w:highlight w:val="none"/>
              </w:rPr>
            </w:pPr>
            <w:r>
              <w:rPr>
                <w:rFonts w:ascii="宋体" w:hAnsi="宋体" w:cs="仿宋"/>
                <w:color w:val="auto"/>
                <w:kern w:val="0"/>
                <w:highlight w:val="none"/>
              </w:rPr>
              <w:t>4</w:t>
            </w:r>
          </w:p>
        </w:tc>
        <w:tc>
          <w:tcPr>
            <w:tcW w:w="1380" w:type="dxa"/>
            <w:tcBorders>
              <w:top w:val="single" w:color="auto" w:sz="4" w:space="0"/>
              <w:left w:val="nil"/>
              <w:bottom w:val="single" w:color="auto" w:sz="4" w:space="0"/>
              <w:right w:val="single" w:color="auto" w:sz="4" w:space="0"/>
            </w:tcBorders>
            <w:vAlign w:val="center"/>
          </w:tcPr>
          <w:p>
            <w:pPr>
              <w:jc w:val="center"/>
              <w:rPr>
                <w:rFonts w:ascii="宋体" w:hAnsi="宋体" w:cs="仿宋"/>
                <w:color w:val="auto"/>
                <w:kern w:val="0"/>
                <w:highlight w:val="none"/>
              </w:rPr>
            </w:pPr>
            <w:r>
              <w:rPr>
                <w:rFonts w:hint="eastAsia" w:ascii="宋体" w:hAnsi="宋体" w:cs="仿宋"/>
                <w:color w:val="auto"/>
                <w:kern w:val="0"/>
                <w:highlight w:val="none"/>
              </w:rPr>
              <w:t>具体承包人报发包人确定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1" w:type="dxa"/>
            <w:tcBorders>
              <w:top w:val="single" w:color="auto" w:sz="4" w:space="0"/>
              <w:left w:val="single" w:color="auto" w:sz="4" w:space="0"/>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ascii="宋体" w:hAnsi="宋体" w:cs="仿宋"/>
                <w:color w:val="auto"/>
                <w:kern w:val="0"/>
                <w:highlight w:val="none"/>
              </w:rPr>
              <w:t>2</w:t>
            </w:r>
          </w:p>
        </w:tc>
        <w:tc>
          <w:tcPr>
            <w:tcW w:w="1382" w:type="dxa"/>
            <w:tcBorders>
              <w:top w:val="single" w:color="auto" w:sz="4" w:space="0"/>
              <w:left w:val="nil"/>
              <w:bottom w:val="single" w:color="auto" w:sz="4" w:space="0"/>
              <w:right w:val="single" w:color="auto" w:sz="4" w:space="0"/>
            </w:tcBorders>
            <w:vAlign w:val="center"/>
          </w:tcPr>
          <w:p>
            <w:pPr>
              <w:widowControl/>
              <w:snapToGrid w:val="0"/>
              <w:spacing w:line="440" w:lineRule="exact"/>
              <w:jc w:val="center"/>
              <w:rPr>
                <w:rFonts w:ascii="宋体" w:hAnsi="宋体" w:cs="仿宋"/>
                <w:color w:val="auto"/>
                <w:kern w:val="0"/>
                <w:highlight w:val="none"/>
              </w:rPr>
            </w:pPr>
            <w:r>
              <w:rPr>
                <w:rFonts w:hint="eastAsia" w:ascii="宋体" w:hAnsi="宋体" w:cs="仿宋"/>
                <w:color w:val="auto"/>
                <w:kern w:val="0"/>
                <w:highlight w:val="none"/>
              </w:rPr>
              <w:t>人货梯</w:t>
            </w:r>
          </w:p>
        </w:tc>
        <w:tc>
          <w:tcPr>
            <w:tcW w:w="1384" w:type="dxa"/>
            <w:tcBorders>
              <w:top w:val="single" w:color="auto" w:sz="4" w:space="0"/>
              <w:left w:val="nil"/>
              <w:bottom w:val="single" w:color="auto" w:sz="4" w:space="0"/>
              <w:right w:val="single" w:color="auto" w:sz="4" w:space="0"/>
            </w:tcBorders>
            <w:vAlign w:val="center"/>
          </w:tcPr>
          <w:p>
            <w:pPr>
              <w:widowControl/>
              <w:snapToGrid w:val="0"/>
              <w:spacing w:line="440" w:lineRule="exact"/>
              <w:jc w:val="center"/>
              <w:rPr>
                <w:rFonts w:ascii="宋体" w:hAnsi="宋体" w:cs="仿宋"/>
                <w:color w:val="auto"/>
                <w:kern w:val="0"/>
                <w:highlight w:val="none"/>
              </w:rPr>
            </w:pPr>
            <w:r>
              <w:rPr>
                <w:rFonts w:ascii="宋体" w:hAnsi="宋体" w:cs="仿宋"/>
                <w:color w:val="auto"/>
                <w:kern w:val="0"/>
                <w:highlight w:val="none"/>
              </w:rPr>
              <w:t>变频</w:t>
            </w:r>
            <w:r>
              <w:rPr>
                <w:rFonts w:hint="eastAsia" w:ascii="宋体" w:hAnsi="宋体" w:cs="仿宋"/>
                <w:color w:val="auto"/>
                <w:kern w:val="0"/>
                <w:highlight w:val="none"/>
              </w:rPr>
              <w:t>，</w:t>
            </w:r>
            <w:r>
              <w:rPr>
                <w:rFonts w:ascii="宋体" w:hAnsi="宋体" w:cs="仿宋"/>
                <w:color w:val="auto"/>
                <w:kern w:val="0"/>
                <w:highlight w:val="none"/>
              </w:rPr>
              <w:t>SC200</w:t>
            </w:r>
            <w:r>
              <w:rPr>
                <w:rFonts w:hint="eastAsia" w:ascii="宋体" w:hAnsi="宋体" w:cs="仿宋"/>
                <w:color w:val="auto"/>
                <w:kern w:val="0"/>
                <w:highlight w:val="none"/>
              </w:rPr>
              <w:t>电梯</w:t>
            </w:r>
          </w:p>
        </w:tc>
        <w:tc>
          <w:tcPr>
            <w:tcW w:w="1384" w:type="dxa"/>
            <w:tcBorders>
              <w:top w:val="single" w:color="auto" w:sz="4" w:space="0"/>
              <w:left w:val="nil"/>
              <w:bottom w:val="single" w:color="auto" w:sz="4" w:space="0"/>
              <w:right w:val="single" w:color="auto" w:sz="4" w:space="0"/>
            </w:tcBorders>
            <w:vAlign w:val="center"/>
          </w:tcPr>
          <w:p>
            <w:pPr>
              <w:spacing w:line="440" w:lineRule="exact"/>
              <w:jc w:val="center"/>
              <w:rPr>
                <w:rFonts w:ascii="宋体" w:hAnsi="宋体" w:cs="仿宋"/>
                <w:color w:val="auto"/>
                <w:kern w:val="0"/>
                <w:highlight w:val="none"/>
              </w:rPr>
            </w:pPr>
            <w:r>
              <w:rPr>
                <w:rFonts w:hint="eastAsia" w:ascii="宋体" w:hAnsi="宋体" w:cs="仿宋"/>
                <w:color w:val="auto"/>
                <w:kern w:val="0"/>
                <w:highlight w:val="none"/>
              </w:rPr>
              <w:t>台</w:t>
            </w:r>
          </w:p>
        </w:tc>
        <w:tc>
          <w:tcPr>
            <w:tcW w:w="1384" w:type="dxa"/>
            <w:tcBorders>
              <w:top w:val="single" w:color="auto" w:sz="4" w:space="0"/>
              <w:left w:val="nil"/>
              <w:bottom w:val="single" w:color="auto" w:sz="4" w:space="0"/>
              <w:right w:val="single" w:color="auto" w:sz="4" w:space="0"/>
            </w:tcBorders>
            <w:vAlign w:val="center"/>
          </w:tcPr>
          <w:p>
            <w:pPr>
              <w:widowControl/>
              <w:snapToGrid w:val="0"/>
              <w:spacing w:line="440" w:lineRule="exact"/>
              <w:jc w:val="center"/>
              <w:rPr>
                <w:rFonts w:ascii="宋体" w:hAnsi="宋体" w:cs="仿宋"/>
                <w:color w:val="auto"/>
                <w:kern w:val="0"/>
                <w:highlight w:val="none"/>
              </w:rPr>
            </w:pPr>
            <w:r>
              <w:rPr>
                <w:rFonts w:ascii="宋体" w:hAnsi="宋体" w:cs="仿宋"/>
                <w:color w:val="auto"/>
                <w:kern w:val="0"/>
                <w:highlight w:val="none"/>
              </w:rPr>
              <w:t>9</w:t>
            </w:r>
            <w:r>
              <w:rPr>
                <w:rFonts w:hint="eastAsia" w:ascii="宋体" w:hAnsi="宋体" w:cs="仿宋"/>
                <w:color w:val="auto"/>
                <w:kern w:val="0"/>
                <w:highlight w:val="none"/>
              </w:rPr>
              <w:t>台6箱</w:t>
            </w:r>
          </w:p>
        </w:tc>
        <w:tc>
          <w:tcPr>
            <w:tcW w:w="1380" w:type="dxa"/>
            <w:tcBorders>
              <w:top w:val="single" w:color="auto" w:sz="4" w:space="0"/>
              <w:left w:val="nil"/>
              <w:bottom w:val="single" w:color="auto" w:sz="4" w:space="0"/>
              <w:right w:val="single" w:color="auto" w:sz="4" w:space="0"/>
            </w:tcBorders>
            <w:vAlign w:val="center"/>
          </w:tcPr>
          <w:p>
            <w:pPr>
              <w:jc w:val="center"/>
              <w:rPr>
                <w:rFonts w:ascii="宋体" w:hAnsi="宋体" w:cs="仿宋"/>
                <w:color w:val="auto"/>
                <w:kern w:val="0"/>
                <w:highlight w:val="none"/>
              </w:rPr>
            </w:pPr>
            <w:r>
              <w:rPr>
                <w:rFonts w:hint="eastAsia" w:ascii="宋体" w:hAnsi="宋体" w:cs="仿宋"/>
                <w:color w:val="auto"/>
                <w:kern w:val="0"/>
                <w:highlight w:val="none"/>
              </w:rPr>
              <w:t>具体承包人报发包人确定</w:t>
            </w:r>
          </w:p>
        </w:tc>
      </w:tr>
    </w:tbl>
    <w:p>
      <w:pPr>
        <w:pStyle w:val="714"/>
        <w:spacing w:line="360" w:lineRule="auto"/>
        <w:ind w:firstLine="424" w:firstLineChars="202"/>
        <w:jc w:val="left"/>
        <w:rPr>
          <w:rFonts w:ascii="宋体" w:hAnsi="宋体" w:cs="仿宋"/>
          <w:bCs/>
          <w:color w:val="auto"/>
          <w:kern w:val="0"/>
          <w:szCs w:val="21"/>
          <w:highlight w:val="none"/>
        </w:rPr>
      </w:pP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安全文明施工要求</w:t>
      </w:r>
    </w:p>
    <w:p>
      <w:pPr>
        <w:spacing w:line="360" w:lineRule="auto"/>
        <w:ind w:firstLine="420" w:firstLineChars="200"/>
        <w:rPr>
          <w:bCs/>
          <w:color w:val="auto"/>
          <w:highlight w:val="none"/>
          <w:u w:val="single"/>
        </w:rPr>
      </w:pPr>
      <w:r>
        <w:rPr>
          <w:rFonts w:hint="eastAsia"/>
          <w:bCs/>
          <w:color w:val="auto"/>
          <w:highlight w:val="none"/>
          <w:u w:val="single"/>
        </w:rPr>
        <w:t>承包人项目管理人员必须组建工程“安全管控红线”标准化管理小组，按越秀地产编制的工程“安全管控红线”</w:t>
      </w:r>
      <w:r>
        <w:rPr>
          <w:bCs/>
          <w:color w:val="auto"/>
          <w:highlight w:val="none"/>
          <w:u w:val="single"/>
        </w:rPr>
        <w:t>风险</w:t>
      </w:r>
      <w:r>
        <w:rPr>
          <w:rFonts w:hint="eastAsia"/>
          <w:bCs/>
          <w:color w:val="auto"/>
          <w:highlight w:val="none"/>
          <w:u w:val="single"/>
        </w:rPr>
        <w:t>防范和控制要求，认真</w:t>
      </w:r>
      <w:r>
        <w:rPr>
          <w:bCs/>
          <w:color w:val="auto"/>
          <w:highlight w:val="none"/>
          <w:u w:val="single"/>
        </w:rPr>
        <w:t>落实</w:t>
      </w:r>
      <w:r>
        <w:rPr>
          <w:rFonts w:hint="eastAsia"/>
          <w:bCs/>
          <w:color w:val="auto"/>
          <w:highlight w:val="none"/>
          <w:u w:val="single"/>
        </w:rPr>
        <w:t>执行</w:t>
      </w:r>
      <w:r>
        <w:rPr>
          <w:bCs/>
          <w:color w:val="auto"/>
          <w:highlight w:val="none"/>
          <w:u w:val="single"/>
        </w:rPr>
        <w:t>工程</w:t>
      </w:r>
      <w:r>
        <w:rPr>
          <w:rFonts w:hint="eastAsia"/>
          <w:bCs/>
          <w:color w:val="auto"/>
          <w:highlight w:val="none"/>
          <w:u w:val="single"/>
        </w:rPr>
        <w:t>“安全管控红线”的</w:t>
      </w:r>
      <w:r>
        <w:rPr>
          <w:bCs/>
          <w:color w:val="auto"/>
          <w:highlight w:val="none"/>
          <w:u w:val="single"/>
        </w:rPr>
        <w:t>管理规定，</w:t>
      </w:r>
      <w:r>
        <w:rPr>
          <w:rFonts w:hint="eastAsia"/>
          <w:bCs/>
          <w:color w:val="auto"/>
          <w:highlight w:val="none"/>
          <w:u w:val="single"/>
        </w:rPr>
        <w:t>及时识别项目</w:t>
      </w:r>
      <w:r>
        <w:rPr>
          <w:bCs/>
          <w:color w:val="auto"/>
          <w:highlight w:val="none"/>
          <w:u w:val="single"/>
        </w:rPr>
        <w:t>工程红线</w:t>
      </w:r>
      <w:r>
        <w:rPr>
          <w:rFonts w:hint="eastAsia"/>
          <w:bCs/>
          <w:color w:val="auto"/>
          <w:highlight w:val="none"/>
          <w:u w:val="single"/>
        </w:rPr>
        <w:t>隐患，采取相应管控措施预</w:t>
      </w:r>
      <w:r>
        <w:rPr>
          <w:bCs/>
          <w:color w:val="auto"/>
          <w:highlight w:val="none"/>
          <w:u w:val="single"/>
        </w:rPr>
        <w:t>防</w:t>
      </w:r>
      <w:r>
        <w:rPr>
          <w:rFonts w:hint="eastAsia"/>
          <w:bCs/>
          <w:color w:val="auto"/>
          <w:highlight w:val="none"/>
          <w:u w:val="single"/>
        </w:rPr>
        <w:t>和</w:t>
      </w:r>
      <w:r>
        <w:rPr>
          <w:bCs/>
          <w:color w:val="auto"/>
          <w:highlight w:val="none"/>
          <w:u w:val="single"/>
        </w:rPr>
        <w:t>规避</w:t>
      </w:r>
      <w:r>
        <w:rPr>
          <w:rFonts w:hint="eastAsia"/>
          <w:bCs/>
          <w:color w:val="auto"/>
          <w:highlight w:val="none"/>
          <w:u w:val="single"/>
        </w:rPr>
        <w:t>。</w:t>
      </w:r>
    </w:p>
    <w:p>
      <w:pPr>
        <w:spacing w:line="360" w:lineRule="auto"/>
        <w:ind w:firstLine="420" w:firstLineChars="200"/>
        <w:rPr>
          <w:rFonts w:ascii="宋体" w:hAnsi="宋体" w:cs="仿宋"/>
          <w:bCs/>
          <w:color w:val="auto"/>
          <w:kern w:val="0"/>
          <w:szCs w:val="21"/>
          <w:highlight w:val="none"/>
        </w:rPr>
      </w:pPr>
      <w:r>
        <w:rPr>
          <w:rFonts w:hint="eastAsia" w:ascii="宋体" w:hAnsi="宋体" w:cs="仿宋"/>
          <w:bCs/>
          <w:color w:val="auto"/>
          <w:kern w:val="0"/>
          <w:szCs w:val="21"/>
          <w:highlight w:val="none"/>
        </w:rPr>
        <w:t>(越秀地产安全红线已变更，应采用新版，也建议列入越秀地产《重大隐患清单》）</w:t>
      </w:r>
    </w:p>
    <w:p>
      <w:pPr>
        <w:numPr>
          <w:ilvl w:val="1"/>
          <w:numId w:val="12"/>
        </w:numPr>
        <w:spacing w:line="360" w:lineRule="auto"/>
        <w:rPr>
          <w:color w:val="auto"/>
          <w:szCs w:val="21"/>
          <w:highlight w:val="none"/>
        </w:rPr>
      </w:pPr>
      <w:r>
        <w:rPr>
          <w:rFonts w:hint="eastAsia" w:ascii="宋体" w:hAnsi="宋体" w:cs="宋体"/>
          <w:b/>
          <w:bCs/>
          <w:color w:val="auto"/>
          <w:kern w:val="0"/>
          <w:szCs w:val="21"/>
          <w:highlight w:val="none"/>
        </w:rPr>
        <w:t>安全管理红线如下表：</w:t>
      </w:r>
    </w:p>
    <w:tbl>
      <w:tblPr>
        <w:tblStyle w:val="62"/>
        <w:tblW w:w="8957" w:type="dxa"/>
        <w:jc w:val="center"/>
        <w:tblLayout w:type="fixed"/>
        <w:tblCellMar>
          <w:top w:w="0" w:type="dxa"/>
          <w:left w:w="108" w:type="dxa"/>
          <w:bottom w:w="0" w:type="dxa"/>
          <w:right w:w="108" w:type="dxa"/>
        </w:tblCellMar>
      </w:tblPr>
      <w:tblGrid>
        <w:gridCol w:w="1429"/>
        <w:gridCol w:w="6935"/>
        <w:gridCol w:w="593"/>
      </w:tblGrid>
      <w:tr>
        <w:tblPrEx>
          <w:tblCellMar>
            <w:top w:w="0" w:type="dxa"/>
            <w:left w:w="108" w:type="dxa"/>
            <w:bottom w:w="0" w:type="dxa"/>
            <w:right w:w="108" w:type="dxa"/>
          </w:tblCellMar>
        </w:tblPrEx>
        <w:trPr>
          <w:gridAfter w:val="1"/>
          <w:wAfter w:w="593" w:type="dxa"/>
          <w:trHeight w:val="331" w:hRule="atLeast"/>
          <w:tblHeader/>
          <w:jc w:val="center"/>
        </w:trPr>
        <w:tc>
          <w:tcPr>
            <w:tcW w:w="83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 w:hAnsi="宋体" w:cs="宋体"/>
                <w:b/>
                <w:bCs/>
                <w:color w:val="auto"/>
                <w:kern w:val="0"/>
                <w:sz w:val="22"/>
                <w:highlight w:val="none"/>
                <w:u w:val="single"/>
              </w:rPr>
            </w:pPr>
            <w:r>
              <w:rPr>
                <w:rFonts w:hint="eastAsia" w:ascii="宋体" w:hAnsi="宋体" w:cs="宋体"/>
                <w:b/>
                <w:bCs/>
                <w:color w:val="auto"/>
                <w:kern w:val="0"/>
                <w:sz w:val="22"/>
                <w:highlight w:val="none"/>
                <w:u w:val="single"/>
              </w:rPr>
              <w:t xml:space="preserve">安全管理红线 </w:t>
            </w:r>
          </w:p>
        </w:tc>
      </w:tr>
      <w:tr>
        <w:tblPrEx>
          <w:tblCellMar>
            <w:top w:w="0" w:type="dxa"/>
            <w:left w:w="108" w:type="dxa"/>
            <w:bottom w:w="0" w:type="dxa"/>
            <w:right w:w="108" w:type="dxa"/>
          </w:tblCellMar>
        </w:tblPrEx>
        <w:trPr>
          <w:trHeight w:val="390" w:hRule="atLeast"/>
          <w:jc w:val="center"/>
        </w:trPr>
        <w:tc>
          <w:tcPr>
            <w:tcW w:w="1429" w:type="dxa"/>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类别</w:t>
            </w:r>
          </w:p>
        </w:tc>
        <w:tc>
          <w:tcPr>
            <w:tcW w:w="7528" w:type="dxa"/>
            <w:gridSpan w:val="2"/>
            <w:tcBorders>
              <w:top w:val="single" w:color="auto" w:sz="4" w:space="0"/>
              <w:left w:val="nil"/>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红线内容</w:t>
            </w:r>
          </w:p>
        </w:tc>
      </w:tr>
      <w:tr>
        <w:tblPrEx>
          <w:tblCellMar>
            <w:top w:w="0" w:type="dxa"/>
            <w:left w:w="108" w:type="dxa"/>
            <w:bottom w:w="0" w:type="dxa"/>
            <w:right w:w="108" w:type="dxa"/>
          </w:tblCellMar>
        </w:tblPrEx>
        <w:trPr>
          <w:trHeight w:val="645" w:hRule="atLeast"/>
          <w:jc w:val="center"/>
        </w:trPr>
        <w:tc>
          <w:tcPr>
            <w:tcW w:w="1429" w:type="dxa"/>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安全生产管理协议</w:t>
            </w:r>
          </w:p>
        </w:tc>
        <w:tc>
          <w:tcPr>
            <w:tcW w:w="7528" w:type="dxa"/>
            <w:gridSpan w:val="2"/>
            <w:tcBorders>
              <w:top w:val="single" w:color="auto" w:sz="4" w:space="0"/>
              <w:left w:val="nil"/>
              <w:bottom w:val="single" w:color="auto" w:sz="4" w:space="0"/>
              <w:right w:val="single" w:color="auto" w:sz="4" w:space="0"/>
            </w:tcBorders>
            <w:shd w:val="clear" w:color="auto" w:fill="auto"/>
            <w:vAlign w:val="center"/>
          </w:tcPr>
          <w:p>
            <w:pPr>
              <w:jc w:val="left"/>
              <w:rPr>
                <w:rFonts w:ascii="宋体" w:hAnsi="宋体" w:cs="仿宋_GB2312"/>
                <w:color w:val="auto"/>
                <w:highlight w:val="none"/>
              </w:rPr>
            </w:pPr>
            <w:r>
              <w:rPr>
                <w:rFonts w:hint="eastAsia" w:ascii="宋体" w:hAnsi="宋体" w:cs="仿宋_GB2312"/>
                <w:color w:val="auto"/>
                <w:highlight w:val="none"/>
              </w:rPr>
              <w:t>1.未按要求签订安全生产管理协议，或安全管理责任、安全管理界面不清晰的。</w:t>
            </w:r>
          </w:p>
        </w:tc>
      </w:tr>
      <w:tr>
        <w:tblPrEx>
          <w:tblCellMar>
            <w:top w:w="0" w:type="dxa"/>
            <w:left w:w="108" w:type="dxa"/>
            <w:bottom w:w="0" w:type="dxa"/>
            <w:right w:w="108" w:type="dxa"/>
          </w:tblCellMar>
        </w:tblPrEx>
        <w:trPr>
          <w:trHeight w:val="554" w:hRule="atLeast"/>
          <w:jc w:val="center"/>
        </w:trPr>
        <w:tc>
          <w:tcPr>
            <w:tcW w:w="1429" w:type="dxa"/>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安全管理组织架构</w:t>
            </w:r>
          </w:p>
        </w:tc>
        <w:tc>
          <w:tcPr>
            <w:tcW w:w="7528" w:type="dxa"/>
            <w:gridSpan w:val="2"/>
            <w:tcBorders>
              <w:top w:val="single" w:color="auto" w:sz="4" w:space="0"/>
              <w:left w:val="nil"/>
              <w:bottom w:val="single" w:color="auto" w:sz="4" w:space="0"/>
              <w:right w:val="single" w:color="auto" w:sz="4" w:space="0"/>
            </w:tcBorders>
            <w:shd w:val="clear" w:color="auto" w:fill="auto"/>
            <w:vAlign w:val="center"/>
          </w:tcPr>
          <w:p>
            <w:pPr>
              <w:jc w:val="left"/>
              <w:rPr>
                <w:rFonts w:ascii="宋体" w:hAnsi="宋体" w:cs="仿宋_GB2312"/>
                <w:color w:val="auto"/>
                <w:highlight w:val="none"/>
              </w:rPr>
            </w:pPr>
            <w:r>
              <w:rPr>
                <w:rFonts w:hint="eastAsia" w:ascii="宋体" w:hAnsi="宋体" w:cs="仿宋_GB2312"/>
                <w:color w:val="auto"/>
                <w:highlight w:val="none"/>
              </w:rPr>
              <w:t>2.未按规定配备安全管理人员，且现场存在重大安全隐患的。</w:t>
            </w:r>
          </w:p>
        </w:tc>
      </w:tr>
      <w:tr>
        <w:tblPrEx>
          <w:tblCellMar>
            <w:top w:w="0" w:type="dxa"/>
            <w:left w:w="108" w:type="dxa"/>
            <w:bottom w:w="0" w:type="dxa"/>
            <w:right w:w="108" w:type="dxa"/>
          </w:tblCellMar>
        </w:tblPrEx>
        <w:trPr>
          <w:trHeight w:val="600" w:hRule="atLeast"/>
          <w:jc w:val="center"/>
        </w:trPr>
        <w:tc>
          <w:tcPr>
            <w:tcW w:w="1429" w:type="dxa"/>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安全投入</w:t>
            </w:r>
          </w:p>
        </w:tc>
        <w:tc>
          <w:tcPr>
            <w:tcW w:w="7528" w:type="dxa"/>
            <w:gridSpan w:val="2"/>
            <w:tcBorders>
              <w:top w:val="nil"/>
              <w:left w:val="nil"/>
              <w:bottom w:val="single" w:color="auto" w:sz="4" w:space="0"/>
              <w:right w:val="single" w:color="auto" w:sz="4" w:space="0"/>
            </w:tcBorders>
            <w:shd w:val="clear" w:color="auto" w:fill="auto"/>
            <w:vAlign w:val="center"/>
          </w:tcPr>
          <w:p>
            <w:pPr>
              <w:jc w:val="left"/>
              <w:rPr>
                <w:rFonts w:ascii="宋体" w:hAnsi="宋体" w:cs="仿宋_GB2312"/>
                <w:color w:val="auto"/>
                <w:highlight w:val="none"/>
              </w:rPr>
            </w:pPr>
            <w:r>
              <w:rPr>
                <w:rFonts w:hint="eastAsia" w:ascii="宋体" w:hAnsi="宋体" w:cs="仿宋_GB2312"/>
                <w:color w:val="auto"/>
                <w:highlight w:val="none"/>
              </w:rPr>
              <w:t>3.安全生产投入明显不足的。</w:t>
            </w:r>
          </w:p>
        </w:tc>
      </w:tr>
      <w:tr>
        <w:tblPrEx>
          <w:tblCellMar>
            <w:top w:w="0" w:type="dxa"/>
            <w:left w:w="108" w:type="dxa"/>
            <w:bottom w:w="0" w:type="dxa"/>
            <w:right w:w="108" w:type="dxa"/>
          </w:tblCellMar>
        </w:tblPrEx>
        <w:trPr>
          <w:trHeight w:val="580" w:hRule="atLeast"/>
          <w:jc w:val="center"/>
        </w:trPr>
        <w:tc>
          <w:tcPr>
            <w:tcW w:w="1429" w:type="dxa"/>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危大工程</w:t>
            </w:r>
          </w:p>
        </w:tc>
        <w:tc>
          <w:tcPr>
            <w:tcW w:w="7528" w:type="dxa"/>
            <w:gridSpan w:val="2"/>
            <w:tcBorders>
              <w:top w:val="nil"/>
              <w:left w:val="nil"/>
              <w:bottom w:val="single" w:color="auto" w:sz="4" w:space="0"/>
              <w:right w:val="single" w:color="auto" w:sz="4" w:space="0"/>
            </w:tcBorders>
            <w:shd w:val="clear" w:color="auto" w:fill="auto"/>
            <w:vAlign w:val="center"/>
          </w:tcPr>
          <w:p>
            <w:pPr>
              <w:numPr>
                <w:ilvl w:val="0"/>
                <w:numId w:val="13"/>
              </w:numPr>
              <w:jc w:val="left"/>
              <w:rPr>
                <w:color w:val="auto"/>
                <w:highlight w:val="none"/>
              </w:rPr>
            </w:pPr>
            <w:r>
              <w:rPr>
                <w:rFonts w:hint="eastAsia"/>
                <w:color w:val="auto"/>
                <w:highlight w:val="none"/>
              </w:rPr>
              <w:t>出现2处及以上危险性较大分部分项工程方案未按规定进行审核即施工的，或超一定规模的危险性较大的分部分项工程专项施工方案未进行专家论证即施工的。</w:t>
            </w:r>
          </w:p>
          <w:p>
            <w:pPr>
              <w:pStyle w:val="2"/>
              <w:numPr>
                <w:ilvl w:val="0"/>
                <w:numId w:val="13"/>
              </w:numPr>
              <w:rPr>
                <w:color w:val="auto"/>
                <w:highlight w:val="none"/>
              </w:rPr>
            </w:pPr>
            <w:r>
              <w:rPr>
                <w:rFonts w:hint="eastAsia"/>
                <w:color w:val="auto"/>
                <w:sz w:val="21"/>
                <w:szCs w:val="20"/>
                <w:highlight w:val="none"/>
              </w:rPr>
              <w:t>出现2处及以上塔吊、施工电梯、附着式升降脚手架等未经具有相应资质的检验检测合格即投入使用的。</w:t>
            </w:r>
          </w:p>
        </w:tc>
      </w:tr>
      <w:tr>
        <w:tblPrEx>
          <w:tblCellMar>
            <w:top w:w="0" w:type="dxa"/>
            <w:left w:w="108" w:type="dxa"/>
            <w:bottom w:w="0" w:type="dxa"/>
            <w:right w:w="108" w:type="dxa"/>
          </w:tblCellMar>
        </w:tblPrEx>
        <w:trPr>
          <w:trHeight w:val="546" w:hRule="atLeast"/>
          <w:jc w:val="center"/>
        </w:trPr>
        <w:tc>
          <w:tcPr>
            <w:tcW w:w="1429" w:type="dxa"/>
            <w:tcBorders>
              <w:top w:val="nil"/>
              <w:left w:val="single" w:color="auto" w:sz="4" w:space="0"/>
              <w:bottom w:val="single" w:color="auto" w:sz="4" w:space="0"/>
              <w:right w:val="single" w:color="auto" w:sz="4" w:space="0"/>
            </w:tcBorders>
            <w:shd w:val="clear" w:color="auto" w:fill="auto"/>
            <w:vAlign w:val="center"/>
          </w:tcPr>
          <w:p>
            <w:pPr>
              <w:jc w:val="center"/>
              <w:rPr>
                <w:rFonts w:ascii="宋体" w:hAnsi="宋体" w:cs="仿宋_GB2312"/>
                <w:color w:val="auto"/>
                <w:highlight w:val="none"/>
              </w:rPr>
            </w:pPr>
            <w:r>
              <w:rPr>
                <w:rFonts w:hint="eastAsia" w:ascii="宋体" w:hAnsi="宋体" w:cs="仿宋_GB2312"/>
                <w:color w:val="auto"/>
                <w:highlight w:val="none"/>
              </w:rPr>
              <w:t>应急管理</w:t>
            </w:r>
          </w:p>
        </w:tc>
        <w:tc>
          <w:tcPr>
            <w:tcW w:w="7528" w:type="dxa"/>
            <w:gridSpan w:val="2"/>
            <w:tcBorders>
              <w:top w:val="nil"/>
              <w:left w:val="nil"/>
              <w:bottom w:val="single" w:color="auto" w:sz="4" w:space="0"/>
              <w:right w:val="single" w:color="auto" w:sz="4" w:space="0"/>
            </w:tcBorders>
            <w:shd w:val="clear" w:color="auto" w:fill="auto"/>
            <w:vAlign w:val="center"/>
          </w:tcPr>
          <w:p>
            <w:pPr>
              <w:numPr>
                <w:ilvl w:val="0"/>
                <w:numId w:val="13"/>
              </w:numPr>
              <w:jc w:val="left"/>
              <w:rPr>
                <w:color w:val="auto"/>
                <w:highlight w:val="none"/>
              </w:rPr>
            </w:pPr>
            <w:r>
              <w:rPr>
                <w:rFonts w:hint="eastAsia"/>
                <w:color w:val="auto"/>
                <w:highlight w:val="none"/>
              </w:rPr>
              <w:t>未制定应急预案，或应急预案与实际明显不符的。</w:t>
            </w:r>
          </w:p>
          <w:p>
            <w:pPr>
              <w:pStyle w:val="2"/>
              <w:numPr>
                <w:ilvl w:val="0"/>
                <w:numId w:val="13"/>
              </w:numPr>
              <w:rPr>
                <w:color w:val="auto"/>
                <w:highlight w:val="none"/>
              </w:rPr>
            </w:pPr>
            <w:r>
              <w:rPr>
                <w:rFonts w:hint="eastAsia"/>
                <w:color w:val="auto"/>
                <w:sz w:val="21"/>
                <w:szCs w:val="20"/>
                <w:highlight w:val="none"/>
              </w:rPr>
              <w:t>未定期组织应急演练。</w:t>
            </w:r>
          </w:p>
        </w:tc>
      </w:tr>
    </w:tbl>
    <w:p>
      <w:pPr>
        <w:pStyle w:val="2"/>
        <w:rPr>
          <w:bCs/>
          <w:color w:val="auto"/>
          <w:highlight w:val="none"/>
          <w:u w:val="single"/>
        </w:rPr>
      </w:pPr>
    </w:p>
    <w:p>
      <w:pPr>
        <w:numPr>
          <w:ilvl w:val="1"/>
          <w:numId w:val="12"/>
        </w:numPr>
        <w:spacing w:line="360" w:lineRule="auto"/>
        <w:ind w:hanging="454"/>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重大安全隐患清单详见合同附件《重大安全隐患清单》</w:t>
      </w:r>
    </w:p>
    <w:p>
      <w:pPr>
        <w:numPr>
          <w:ilvl w:val="1"/>
          <w:numId w:val="12"/>
        </w:numPr>
        <w:spacing w:line="360" w:lineRule="auto"/>
        <w:ind w:hanging="454"/>
        <w:rPr>
          <w:rFonts w:ascii="宋体" w:hAnsi="宋体"/>
          <w:color w:val="auto"/>
          <w:szCs w:val="21"/>
          <w:highlight w:val="none"/>
        </w:rPr>
      </w:pPr>
      <w:r>
        <w:rPr>
          <w:rFonts w:ascii="宋体" w:hAnsi="宋体"/>
          <w:color w:val="auto"/>
          <w:szCs w:val="21"/>
          <w:highlight w:val="none"/>
        </w:rPr>
        <w:t>满足规定要求：工地现场必须严格按广州市建筑工程现场文明施工管理规定的要求施工。施工组织设计中必须提交详细的文明施工措施，这些措施应满足省、市有关文明施工的规定。</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排水：施工场地均要做硬化处理和有组织排水，避免大量施工污水及地面水</w:t>
      </w:r>
      <w:r>
        <w:rPr>
          <w:rFonts w:hint="eastAsia" w:ascii="宋体" w:hAnsi="宋体"/>
          <w:color w:val="auto"/>
          <w:szCs w:val="21"/>
          <w:highlight w:val="none"/>
        </w:rPr>
        <w:t>流</w:t>
      </w:r>
      <w:r>
        <w:rPr>
          <w:rFonts w:ascii="宋体" w:hAnsi="宋体"/>
          <w:color w:val="auto"/>
          <w:szCs w:val="21"/>
          <w:highlight w:val="none"/>
        </w:rPr>
        <w:t>入地下</w:t>
      </w:r>
      <w:r>
        <w:rPr>
          <w:rFonts w:hint="eastAsia" w:ascii="宋体" w:hAnsi="宋体"/>
          <w:color w:val="auto"/>
          <w:szCs w:val="21"/>
          <w:highlight w:val="none"/>
        </w:rPr>
        <w:t>、售楼展示区、</w:t>
      </w:r>
      <w:r>
        <w:rPr>
          <w:rFonts w:ascii="宋体" w:hAnsi="宋体"/>
          <w:color w:val="auto"/>
          <w:szCs w:val="21"/>
          <w:highlight w:val="none"/>
        </w:rPr>
        <w:t>基坑</w:t>
      </w:r>
      <w:r>
        <w:rPr>
          <w:rFonts w:hint="eastAsia" w:ascii="宋体" w:hAnsi="宋体"/>
          <w:color w:val="auto"/>
          <w:szCs w:val="21"/>
          <w:highlight w:val="none"/>
        </w:rPr>
        <w:t>等</w:t>
      </w:r>
      <w:r>
        <w:rPr>
          <w:rFonts w:ascii="宋体" w:hAnsi="宋体"/>
          <w:color w:val="auto"/>
          <w:szCs w:val="21"/>
          <w:highlight w:val="none"/>
        </w:rPr>
        <w:t>。</w:t>
      </w:r>
      <w:r>
        <w:rPr>
          <w:rFonts w:hint="eastAsia" w:ascii="宋体" w:hAnsi="宋体"/>
          <w:color w:val="auto"/>
          <w:szCs w:val="21"/>
          <w:highlight w:val="none"/>
        </w:rPr>
        <w:t>应</w:t>
      </w:r>
      <w:r>
        <w:rPr>
          <w:rFonts w:ascii="宋体" w:hAnsi="宋体"/>
          <w:color w:val="auto"/>
          <w:szCs w:val="21"/>
          <w:highlight w:val="none"/>
        </w:rPr>
        <w:t>通过挡水及集水设施将施工水</w:t>
      </w:r>
      <w:r>
        <w:rPr>
          <w:rFonts w:hint="eastAsia" w:ascii="宋体" w:hAnsi="宋体"/>
          <w:color w:val="auto"/>
          <w:szCs w:val="21"/>
          <w:highlight w:val="none"/>
        </w:rPr>
        <w:t>、</w:t>
      </w:r>
      <w:r>
        <w:rPr>
          <w:rFonts w:ascii="宋体" w:hAnsi="宋体"/>
          <w:color w:val="auto"/>
          <w:szCs w:val="21"/>
          <w:highlight w:val="none"/>
        </w:rPr>
        <w:t>雨水收集至施工排水管</w:t>
      </w:r>
      <w:r>
        <w:rPr>
          <w:rFonts w:hint="eastAsia" w:ascii="宋体" w:hAnsi="宋体"/>
          <w:color w:val="auto"/>
          <w:szCs w:val="21"/>
          <w:highlight w:val="none"/>
        </w:rPr>
        <w:t>，并设置</w:t>
      </w:r>
      <w:r>
        <w:rPr>
          <w:rFonts w:ascii="宋体" w:hAnsi="宋体"/>
          <w:color w:val="auto"/>
          <w:szCs w:val="21"/>
          <w:highlight w:val="none"/>
        </w:rPr>
        <w:t>施工水沉砂池过滤</w:t>
      </w:r>
      <w:r>
        <w:rPr>
          <w:rFonts w:hint="eastAsia" w:ascii="宋体" w:hAnsi="宋体"/>
          <w:color w:val="auto"/>
          <w:szCs w:val="21"/>
          <w:highlight w:val="none"/>
        </w:rPr>
        <w:t>后</w:t>
      </w:r>
      <w:r>
        <w:rPr>
          <w:rFonts w:ascii="宋体" w:hAnsi="宋体"/>
          <w:color w:val="auto"/>
          <w:szCs w:val="21"/>
          <w:highlight w:val="none"/>
        </w:rPr>
        <w:t>排入指定的排水接驳口。</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现场道路：</w:t>
      </w:r>
      <w:r>
        <w:rPr>
          <w:rFonts w:hint="eastAsia" w:ascii="宋体" w:hAnsi="宋体"/>
          <w:color w:val="auto"/>
          <w:szCs w:val="21"/>
          <w:highlight w:val="none"/>
        </w:rPr>
        <w:t>承包人</w:t>
      </w:r>
      <w:r>
        <w:rPr>
          <w:rFonts w:ascii="宋体" w:hAnsi="宋体"/>
          <w:color w:val="auto"/>
          <w:szCs w:val="21"/>
          <w:highlight w:val="none"/>
        </w:rPr>
        <w:t>进场时，要求必须进行硬地化施工。工地临时地面全部混凝土硬化道路地坪（能承受施工重型车辆负荷），保证平坦、整洁；并严禁物料随便侵占道路。施工现场</w:t>
      </w:r>
      <w:r>
        <w:rPr>
          <w:rFonts w:hint="eastAsia" w:ascii="宋体" w:hAnsi="宋体"/>
          <w:color w:val="auto"/>
          <w:szCs w:val="21"/>
          <w:highlight w:val="none"/>
        </w:rPr>
        <w:t>要进行有</w:t>
      </w:r>
      <w:r>
        <w:rPr>
          <w:rFonts w:ascii="宋体" w:hAnsi="宋体"/>
          <w:color w:val="auto"/>
          <w:szCs w:val="21"/>
          <w:highlight w:val="none"/>
        </w:rPr>
        <w:t>组织</w:t>
      </w:r>
      <w:r>
        <w:rPr>
          <w:rFonts w:hint="eastAsia" w:ascii="宋体" w:hAnsi="宋体"/>
          <w:color w:val="auto"/>
          <w:szCs w:val="21"/>
          <w:highlight w:val="none"/>
        </w:rPr>
        <w:t>排水</w:t>
      </w:r>
      <w:r>
        <w:rPr>
          <w:rFonts w:ascii="宋体" w:hAnsi="宋体"/>
          <w:color w:val="auto"/>
          <w:szCs w:val="21"/>
          <w:highlight w:val="none"/>
        </w:rPr>
        <w:t>，项目部派专人对排水管网定时检查、</w:t>
      </w:r>
      <w:r>
        <w:rPr>
          <w:rFonts w:hint="eastAsia" w:ascii="宋体" w:hAnsi="宋体"/>
          <w:color w:val="auto"/>
          <w:szCs w:val="21"/>
          <w:highlight w:val="none"/>
        </w:rPr>
        <w:t>清</w:t>
      </w:r>
      <w:r>
        <w:rPr>
          <w:rFonts w:ascii="宋体" w:hAnsi="宋体"/>
          <w:color w:val="auto"/>
          <w:szCs w:val="21"/>
          <w:highlight w:val="none"/>
        </w:rPr>
        <w:t>疏，保证有效、有组织的排水。整个现场实行分区责任制，所有施工道路时刻保持路面平整、清洁，无明显低洼不平和积水，决不影响车辆通行</w:t>
      </w:r>
      <w:r>
        <w:rPr>
          <w:rFonts w:hint="eastAsia" w:ascii="宋体" w:hAnsi="宋体"/>
          <w:color w:val="auto"/>
          <w:szCs w:val="21"/>
          <w:highlight w:val="none"/>
        </w:rPr>
        <w:t>。</w:t>
      </w:r>
    </w:p>
    <w:p>
      <w:pPr>
        <w:numPr>
          <w:ilvl w:val="1"/>
          <w:numId w:val="12"/>
        </w:numPr>
        <w:spacing w:line="360" w:lineRule="auto"/>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要接受</w:t>
      </w:r>
      <w:r>
        <w:rPr>
          <w:rFonts w:hint="eastAsia" w:ascii="宋体" w:hAnsi="宋体"/>
          <w:color w:val="auto"/>
          <w:szCs w:val="21"/>
          <w:highlight w:val="none"/>
        </w:rPr>
        <w:t>发包人</w:t>
      </w:r>
      <w:r>
        <w:rPr>
          <w:rFonts w:ascii="宋体" w:hAnsi="宋体"/>
          <w:color w:val="auto"/>
          <w:szCs w:val="21"/>
          <w:highlight w:val="none"/>
        </w:rPr>
        <w:t>对现场的安全管理要求，要制定《门卫制度》《工地进出人员登记表》。进入工地大门的一侧设置翼闸，严格履行门卫制度，对工地进出人员进行严格管理，做好现场的安保工作。</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场地布置要求：</w:t>
      </w:r>
    </w:p>
    <w:p>
      <w:pPr>
        <w:numPr>
          <w:ilvl w:val="0"/>
          <w:numId w:val="14"/>
        </w:numPr>
        <w:tabs>
          <w:tab w:val="left" w:pos="1154"/>
          <w:tab w:val="clear" w:pos="425"/>
        </w:tabs>
        <w:spacing w:line="360" w:lineRule="auto"/>
        <w:ind w:left="1134" w:hanging="340"/>
        <w:rPr>
          <w:rFonts w:ascii="宋体" w:hAnsi="宋体"/>
          <w:color w:val="auto"/>
          <w:szCs w:val="21"/>
          <w:highlight w:val="none"/>
        </w:rPr>
      </w:pPr>
      <w:r>
        <w:rPr>
          <w:rFonts w:hint="eastAsia" w:ascii="宋体" w:hAnsi="宋体"/>
          <w:color w:val="auto"/>
          <w:szCs w:val="21"/>
          <w:highlight w:val="none"/>
        </w:rPr>
        <w:t>工地应设建筑垃圾中转场地，占地规格不小于</w:t>
      </w:r>
      <w:r>
        <w:rPr>
          <w:rFonts w:ascii="宋体" w:hAnsi="宋体"/>
          <w:color w:val="auto"/>
          <w:szCs w:val="21"/>
          <w:highlight w:val="none"/>
        </w:rPr>
        <w:t>6×6m，及时清运。建筑垃圾不得从高处往下抛洒，必须袋装运至建筑垃圾中转场地。垃圾外运由</w:t>
      </w:r>
      <w:r>
        <w:rPr>
          <w:rFonts w:hint="eastAsia" w:ascii="宋体" w:hAnsi="宋体"/>
          <w:color w:val="auto"/>
          <w:szCs w:val="21"/>
          <w:highlight w:val="none"/>
        </w:rPr>
        <w:t>承包人</w:t>
      </w:r>
      <w:r>
        <w:rPr>
          <w:rFonts w:ascii="宋体" w:hAnsi="宋体"/>
          <w:color w:val="auto"/>
          <w:szCs w:val="21"/>
          <w:highlight w:val="none"/>
        </w:rPr>
        <w:t>自行解决。必要时应洒水湿润，防止飞扬。建筑垃圾中转场地必须硬地处理，做好排水措施。施工现场各类垃圾应当天清理，否则由</w:t>
      </w:r>
      <w:r>
        <w:rPr>
          <w:rFonts w:hint="eastAsia" w:ascii="宋体" w:hAnsi="宋体"/>
          <w:color w:val="auto"/>
          <w:szCs w:val="21"/>
          <w:highlight w:val="none"/>
        </w:rPr>
        <w:t>发包人</w:t>
      </w:r>
      <w:r>
        <w:rPr>
          <w:rFonts w:ascii="宋体" w:hAnsi="宋体"/>
          <w:color w:val="auto"/>
          <w:szCs w:val="21"/>
          <w:highlight w:val="none"/>
        </w:rPr>
        <w:t>指派人员清理，费用从工程款中扣除。</w:t>
      </w:r>
      <w:r>
        <w:rPr>
          <w:rFonts w:hint="eastAsia" w:ascii="宋体" w:hAnsi="宋体"/>
          <w:color w:val="auto"/>
          <w:szCs w:val="21"/>
          <w:highlight w:val="none"/>
        </w:rPr>
        <w:t>承包人</w:t>
      </w:r>
      <w:r>
        <w:rPr>
          <w:rFonts w:ascii="宋体" w:hAnsi="宋体"/>
          <w:color w:val="auto"/>
          <w:szCs w:val="21"/>
          <w:highlight w:val="none"/>
        </w:rPr>
        <w:t>需组织杂工队（人数必须满足项目规模要求），负责楼层的垃圾清运工作，做好项目文明施工管理。</w:t>
      </w:r>
      <w:r>
        <w:rPr>
          <w:rFonts w:hint="eastAsia" w:ascii="宋体" w:hAnsi="宋体"/>
          <w:color w:val="auto"/>
          <w:szCs w:val="21"/>
          <w:highlight w:val="none"/>
        </w:rPr>
        <w:t xml:space="preserve">  </w:t>
      </w:r>
    </w:p>
    <w:p>
      <w:pPr>
        <w:numPr>
          <w:ilvl w:val="0"/>
          <w:numId w:val="14"/>
        </w:numPr>
        <w:tabs>
          <w:tab w:val="left" w:pos="1154"/>
          <w:tab w:val="clear" w:pos="425"/>
        </w:tabs>
        <w:spacing w:line="360" w:lineRule="auto"/>
        <w:ind w:left="1134" w:hanging="340"/>
        <w:rPr>
          <w:rFonts w:ascii="宋体" w:hAnsi="宋体"/>
          <w:color w:val="auto"/>
          <w:szCs w:val="21"/>
          <w:highlight w:val="none"/>
        </w:rPr>
      </w:pPr>
      <w:r>
        <w:rPr>
          <w:rFonts w:hint="eastAsia" w:ascii="宋体" w:hAnsi="宋体"/>
          <w:color w:val="auto"/>
          <w:szCs w:val="21"/>
          <w:highlight w:val="none"/>
        </w:rPr>
        <w:t>施工工地必须建立“七牌二图”，即施工总平面图、卫生包干责任图、施工简介、工程概况、施工现场管理网络、防火须知、安全生产六大纪律、十项安全技术措施、安全生产目标。否则，发包人代为制作，费用由承包人支付并保管，以发票为结算依据。如遗失或损坏则由承包人负责重新制做。施工区域或危险区域有醒目的警示标志</w:t>
      </w:r>
      <w:r>
        <w:rPr>
          <w:rFonts w:ascii="宋体" w:hAnsi="宋体"/>
          <w:color w:val="auto"/>
          <w:szCs w:val="21"/>
          <w:highlight w:val="none"/>
        </w:rPr>
        <w:t>,并采取安全保护措施。</w:t>
      </w:r>
    </w:p>
    <w:p>
      <w:pPr>
        <w:numPr>
          <w:ilvl w:val="0"/>
          <w:numId w:val="14"/>
        </w:numPr>
        <w:tabs>
          <w:tab w:val="left" w:pos="1154"/>
          <w:tab w:val="clear" w:pos="425"/>
        </w:tabs>
        <w:spacing w:line="360" w:lineRule="auto"/>
        <w:ind w:left="1134" w:hanging="340"/>
        <w:rPr>
          <w:rFonts w:ascii="宋体" w:hAnsi="宋体"/>
          <w:color w:val="auto"/>
          <w:szCs w:val="21"/>
          <w:highlight w:val="none"/>
        </w:rPr>
      </w:pPr>
      <w:r>
        <w:rPr>
          <w:rFonts w:hint="eastAsia" w:ascii="宋体" w:hAnsi="宋体"/>
          <w:color w:val="auto"/>
          <w:szCs w:val="21"/>
          <w:highlight w:val="none"/>
        </w:rPr>
        <w:t>施工现场应设男女厕所，保持清洁无污染，讲究卫生，不随地大小便，不乱抛生活垃圾，一经发现，则责成在发现区域内承建的承包人负责加以整改。</w:t>
      </w:r>
    </w:p>
    <w:p>
      <w:pPr>
        <w:numPr>
          <w:ilvl w:val="0"/>
          <w:numId w:val="14"/>
        </w:numPr>
        <w:tabs>
          <w:tab w:val="left" w:pos="1154"/>
          <w:tab w:val="clear" w:pos="425"/>
        </w:tabs>
        <w:spacing w:line="360" w:lineRule="auto"/>
        <w:ind w:left="1134" w:hanging="340"/>
        <w:rPr>
          <w:rFonts w:ascii="宋体" w:hAnsi="宋体"/>
          <w:color w:val="auto"/>
          <w:szCs w:val="21"/>
          <w:highlight w:val="none"/>
        </w:rPr>
      </w:pPr>
      <w:r>
        <w:rPr>
          <w:rFonts w:hint="eastAsia" w:ascii="宋体" w:hAnsi="宋体"/>
          <w:color w:val="auto"/>
          <w:szCs w:val="21"/>
          <w:highlight w:val="none"/>
        </w:rPr>
        <w:t>大堆材料砂石分类，集中堆放成方，底脚边用边清，砌体料归类成垛，堆放整齐，碎砖料随用随清，无底脚散料，灰不外溢，渣不乱倒，水灰、纸筋灰等做到装车池口清，车运不洒落及干硬，灰池基坑周围应砌筑</w:t>
      </w:r>
      <w:r>
        <w:rPr>
          <w:rFonts w:ascii="宋体" w:hAnsi="宋体"/>
          <w:color w:val="auto"/>
          <w:szCs w:val="21"/>
          <w:highlight w:val="none"/>
        </w:rPr>
        <w:t>300mm</w:t>
      </w:r>
      <w:r>
        <w:rPr>
          <w:rFonts w:hint="eastAsia" w:ascii="宋体" w:hAnsi="宋体"/>
          <w:color w:val="auto"/>
          <w:szCs w:val="21"/>
          <w:highlight w:val="none"/>
        </w:rPr>
        <w:t>高的围护。钢筋成材和未制作加工材料要分开堆放。施工现场上材料堆放整齐，管材上架、扣件、</w:t>
      </w:r>
      <w:r>
        <w:rPr>
          <w:rFonts w:ascii="宋体" w:hAnsi="宋体"/>
          <w:color w:val="auto"/>
          <w:szCs w:val="21"/>
          <w:highlight w:val="none"/>
        </w:rPr>
        <w:t>U型卡、预埋件、垫块等应筑池存放。楼层上垃圾应及时清理，打扫干净，楼梯通道不得堆放材料，确保场貌整齐、整洁、有序、文明。材料堆场必须做到硬地坪施工。</w:t>
      </w:r>
    </w:p>
    <w:p>
      <w:pPr>
        <w:numPr>
          <w:ilvl w:val="1"/>
          <w:numId w:val="12"/>
        </w:numPr>
        <w:spacing w:line="360" w:lineRule="auto"/>
        <w:rPr>
          <w:rFonts w:ascii="宋体" w:hAnsi="宋体"/>
          <w:color w:val="auto"/>
          <w:szCs w:val="21"/>
          <w:highlight w:val="none"/>
        </w:rPr>
      </w:pPr>
      <w:r>
        <w:rPr>
          <w:rFonts w:hint="eastAsia" w:ascii="宋体" w:hAnsi="宋体"/>
          <w:bCs/>
          <w:color w:val="auto"/>
          <w:szCs w:val="21"/>
          <w:highlight w:val="none"/>
        </w:rPr>
        <w:t>施工管理人员、操作工人必须统一佩戴标</w:t>
      </w:r>
      <w:r>
        <w:rPr>
          <w:rFonts w:ascii="宋体" w:hAnsi="宋体"/>
          <w:color w:val="auto"/>
          <w:szCs w:val="21"/>
          <w:highlight w:val="none"/>
        </w:rPr>
        <w:t>志牌，安全帽需张贴发包人要求的帽贴。。标志牌由承包人统一制作，费用已包含在</w:t>
      </w:r>
      <w:r>
        <w:rPr>
          <w:rFonts w:hint="eastAsia" w:ascii="宋体" w:hAnsi="宋体"/>
          <w:bCs/>
          <w:color w:val="auto"/>
          <w:szCs w:val="21"/>
          <w:highlight w:val="none"/>
        </w:rPr>
        <w:t>总报价中。外部访客佩戴标志牌进入工地，工地内一经发现未佩带标志牌者即行逐出工地，施工管理人员、操作工人穿着各公司统一的佩戴标志牌，如违反，处以违约金10</w:t>
      </w:r>
      <w:r>
        <w:rPr>
          <w:rFonts w:ascii="宋体" w:hAnsi="宋体"/>
          <w:bCs/>
          <w:color w:val="auto"/>
          <w:szCs w:val="21"/>
          <w:highlight w:val="none"/>
        </w:rPr>
        <w:t>0元/人</w:t>
      </w:r>
      <w:r>
        <w:rPr>
          <w:rFonts w:hint="eastAsia" w:ascii="宋体" w:hAnsi="宋体"/>
          <w:bCs/>
          <w:color w:val="auto"/>
          <w:szCs w:val="21"/>
          <w:highlight w:val="none"/>
        </w:rPr>
        <w:t>/</w:t>
      </w:r>
      <w:r>
        <w:rPr>
          <w:rFonts w:ascii="宋体" w:hAnsi="宋体"/>
          <w:bCs/>
          <w:color w:val="auto"/>
          <w:szCs w:val="21"/>
          <w:highlight w:val="none"/>
        </w:rPr>
        <w:t>次，进入施工现场所有施工管理人员、操作人员，必须穿戴各个公司统一的安全帽，如违反</w:t>
      </w:r>
      <w:r>
        <w:rPr>
          <w:rFonts w:hint="eastAsia" w:ascii="宋体" w:hAnsi="宋体"/>
          <w:bCs/>
          <w:color w:val="auto"/>
          <w:szCs w:val="21"/>
          <w:highlight w:val="none"/>
        </w:rPr>
        <w:t>，处以违约金2</w:t>
      </w:r>
      <w:r>
        <w:rPr>
          <w:rFonts w:ascii="宋体" w:hAnsi="宋体"/>
          <w:bCs/>
          <w:color w:val="auto"/>
          <w:szCs w:val="21"/>
          <w:highlight w:val="none"/>
        </w:rPr>
        <w:t>00元/人次。</w:t>
      </w:r>
      <w:r>
        <w:rPr>
          <w:rFonts w:hint="eastAsia" w:ascii="宋体" w:hAnsi="宋体"/>
          <w:color w:val="auto"/>
          <w:szCs w:val="21"/>
          <w:highlight w:val="none"/>
        </w:rPr>
        <w:t>文明施工，注意施工安全，按施工安全条例施工，并定期进行施工安全教育，各机械操作须持证上岗。</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本项目外墙</w:t>
      </w:r>
      <w:r>
        <w:rPr>
          <w:rFonts w:hint="eastAsia" w:ascii="宋体" w:hAnsi="宋体"/>
          <w:color w:val="auto"/>
          <w:szCs w:val="21"/>
          <w:highlight w:val="none"/>
        </w:rPr>
        <w:t>采用爬升式悬挑脚手架及吊篮配合施工，</w:t>
      </w:r>
      <w:r>
        <w:rPr>
          <w:rFonts w:ascii="宋体" w:hAnsi="宋体"/>
          <w:color w:val="auto"/>
          <w:szCs w:val="21"/>
          <w:highlight w:val="none"/>
        </w:rPr>
        <w:t>综合脚手架考虑使用普通钢管脚手架</w:t>
      </w:r>
      <w:r>
        <w:rPr>
          <w:rFonts w:hint="eastAsia" w:ascii="宋体" w:hAnsi="宋体"/>
          <w:color w:val="auto"/>
          <w:szCs w:val="21"/>
          <w:highlight w:val="none"/>
        </w:rPr>
        <w:t>，悬挑设置</w:t>
      </w:r>
      <w:r>
        <w:rPr>
          <w:rFonts w:ascii="宋体" w:hAnsi="宋体"/>
          <w:color w:val="auto"/>
          <w:szCs w:val="21"/>
          <w:highlight w:val="none"/>
        </w:rPr>
        <w:t>。后期如需返搭外脚手架由</w:t>
      </w:r>
      <w:r>
        <w:rPr>
          <w:rFonts w:hint="eastAsia" w:ascii="宋体" w:hAnsi="宋体"/>
          <w:color w:val="auto"/>
          <w:szCs w:val="21"/>
          <w:highlight w:val="none"/>
        </w:rPr>
        <w:t>承包人</w:t>
      </w:r>
      <w:r>
        <w:rPr>
          <w:rFonts w:ascii="宋体" w:hAnsi="宋体"/>
          <w:color w:val="auto"/>
          <w:szCs w:val="21"/>
          <w:highlight w:val="none"/>
        </w:rPr>
        <w:t>综合考虑，费用由</w:t>
      </w:r>
      <w:r>
        <w:rPr>
          <w:rFonts w:hint="eastAsia" w:ascii="宋体" w:hAnsi="宋体"/>
          <w:color w:val="auto"/>
          <w:szCs w:val="21"/>
          <w:highlight w:val="none"/>
        </w:rPr>
        <w:t>承包人</w:t>
      </w:r>
      <w:r>
        <w:rPr>
          <w:rFonts w:ascii="宋体" w:hAnsi="宋体"/>
          <w:color w:val="auto"/>
          <w:szCs w:val="21"/>
          <w:highlight w:val="none"/>
        </w:rPr>
        <w:t>负责。脚手架走道外侧需设置踢脚板，高度不小于180mm</w:t>
      </w:r>
      <w:r>
        <w:rPr>
          <w:rFonts w:hint="eastAsia" w:ascii="宋体" w:hAnsi="宋体"/>
          <w:color w:val="auto"/>
          <w:szCs w:val="21"/>
          <w:highlight w:val="none"/>
        </w:rPr>
        <w:t>。施工操作层应围网封闭，脚手架的钢管必须除锈油漆。主要出入口及沿楼通道应设防护棚（高层为双层），脚手架、安全网必须按规范选材、搭设和验收。脚手架验收合格后，需挂验收合格牌，并有记录，挂在脚手架外侧。</w:t>
      </w:r>
    </w:p>
    <w:p>
      <w:pPr>
        <w:numPr>
          <w:ilvl w:val="1"/>
          <w:numId w:val="12"/>
        </w:numPr>
        <w:spacing w:line="360" w:lineRule="auto"/>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进入施工场地后，首先在三天内应向</w:t>
      </w:r>
      <w:r>
        <w:rPr>
          <w:rFonts w:hint="eastAsia" w:ascii="宋体" w:hAnsi="宋体"/>
          <w:color w:val="auto"/>
          <w:szCs w:val="21"/>
          <w:highlight w:val="none"/>
        </w:rPr>
        <w:t>发包人</w:t>
      </w:r>
      <w:r>
        <w:rPr>
          <w:rFonts w:ascii="宋体" w:hAnsi="宋体"/>
          <w:color w:val="auto"/>
          <w:szCs w:val="21"/>
          <w:highlight w:val="none"/>
        </w:rPr>
        <w:t>提交施工场布图以及施工流程，并随</w:t>
      </w:r>
      <w:r>
        <w:rPr>
          <w:rFonts w:hint="eastAsia" w:ascii="宋体" w:hAnsi="宋体"/>
          <w:color w:val="auto"/>
          <w:szCs w:val="21"/>
          <w:highlight w:val="none"/>
        </w:rPr>
        <w:t>地下室、主体</w:t>
      </w:r>
      <w:r>
        <w:rPr>
          <w:rFonts w:ascii="宋体" w:hAnsi="宋体"/>
          <w:color w:val="auto"/>
          <w:szCs w:val="21"/>
          <w:highlight w:val="none"/>
        </w:rPr>
        <w:t>结构、装饰</w:t>
      </w:r>
      <w:r>
        <w:rPr>
          <w:rFonts w:hint="eastAsia" w:ascii="宋体" w:hAnsi="宋体"/>
          <w:color w:val="auto"/>
          <w:szCs w:val="21"/>
          <w:highlight w:val="none"/>
        </w:rPr>
        <w:t>装修</w:t>
      </w:r>
      <w:r>
        <w:rPr>
          <w:rFonts w:ascii="宋体" w:hAnsi="宋体"/>
          <w:color w:val="auto"/>
          <w:szCs w:val="21"/>
          <w:highlight w:val="none"/>
        </w:rPr>
        <w:t>等不同施工阶段进行场地布置，并提交监理及</w:t>
      </w:r>
      <w:r>
        <w:rPr>
          <w:rFonts w:hint="eastAsia" w:ascii="宋体" w:hAnsi="宋体"/>
          <w:color w:val="auto"/>
          <w:szCs w:val="21"/>
          <w:highlight w:val="none"/>
        </w:rPr>
        <w:t>发包人</w:t>
      </w:r>
      <w:r>
        <w:rPr>
          <w:rFonts w:ascii="宋体" w:hAnsi="宋体"/>
          <w:color w:val="auto"/>
          <w:szCs w:val="21"/>
          <w:highlight w:val="none"/>
        </w:rPr>
        <w:t>，经批准后方可实施。</w:t>
      </w:r>
      <w:r>
        <w:rPr>
          <w:rFonts w:hint="eastAsia" w:ascii="宋体" w:hAnsi="宋体"/>
          <w:color w:val="auto"/>
          <w:szCs w:val="21"/>
          <w:highlight w:val="none"/>
        </w:rPr>
        <w:t>发包人</w:t>
      </w:r>
      <w:r>
        <w:rPr>
          <w:rFonts w:ascii="宋体" w:hAnsi="宋体"/>
          <w:color w:val="auto"/>
          <w:szCs w:val="21"/>
          <w:highlight w:val="none"/>
        </w:rPr>
        <w:t>三天未批复即行生效，否则应无条件按</w:t>
      </w:r>
      <w:r>
        <w:rPr>
          <w:rFonts w:hint="eastAsia" w:ascii="宋体" w:hAnsi="宋体"/>
          <w:color w:val="auto"/>
          <w:szCs w:val="21"/>
          <w:highlight w:val="none"/>
        </w:rPr>
        <w:t>发包人</w:t>
      </w:r>
      <w:r>
        <w:rPr>
          <w:rFonts w:ascii="宋体" w:hAnsi="宋体"/>
          <w:color w:val="auto"/>
          <w:szCs w:val="21"/>
          <w:highlight w:val="none"/>
        </w:rPr>
        <w:t>批复的方案实施。</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施工设施设备完好,安全装置齐全有效，模板、脚手架、砖垛等集中堆放整齐、稳定、安全，钢模板及零配件、脚手扣件分类分规格，集中存放，建筑成品和半成品等要根据工期进度合理安排进场时间和施工顺序，防止损失、损坏和影响其它项目施工。</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运输车辆应按指定路线行驶，装载物时应采取有效措施,做到不滴、不漏、不洒、不扬，对进出工地的车辆须派专人及时进行冲洗清扫，大门出入口需铺设草包，防止污染交通道路。否则由</w:t>
      </w:r>
      <w:r>
        <w:rPr>
          <w:rFonts w:hint="eastAsia" w:ascii="宋体" w:hAnsi="宋体"/>
          <w:color w:val="auto"/>
          <w:szCs w:val="21"/>
          <w:highlight w:val="none"/>
        </w:rPr>
        <w:t>发包人</w:t>
      </w:r>
      <w:r>
        <w:rPr>
          <w:rFonts w:ascii="宋体" w:hAnsi="宋体"/>
          <w:color w:val="auto"/>
          <w:szCs w:val="21"/>
          <w:highlight w:val="none"/>
        </w:rPr>
        <w:t>指定人员代为清理，费用从当月工程款中扣除。</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施工过程中，教育施工人员认真做好个人每天工作完成后的落手</w:t>
      </w:r>
      <w:r>
        <w:rPr>
          <w:rFonts w:hint="eastAsia" w:ascii="宋体" w:hAnsi="宋体"/>
          <w:color w:val="auto"/>
          <w:szCs w:val="21"/>
          <w:highlight w:val="none"/>
        </w:rPr>
        <w:t>清洁</w:t>
      </w:r>
      <w:r>
        <w:rPr>
          <w:rFonts w:ascii="宋体" w:hAnsi="宋体"/>
          <w:color w:val="auto"/>
          <w:szCs w:val="21"/>
          <w:highlight w:val="none"/>
        </w:rPr>
        <w:t>工作，当天做到工完</w:t>
      </w:r>
      <w:r>
        <w:rPr>
          <w:rFonts w:hint="eastAsia" w:ascii="宋体" w:hAnsi="宋体"/>
          <w:color w:val="auto"/>
          <w:szCs w:val="21"/>
          <w:highlight w:val="none"/>
        </w:rPr>
        <w:t>场</w:t>
      </w:r>
      <w:r>
        <w:rPr>
          <w:rFonts w:ascii="宋体" w:hAnsi="宋体"/>
          <w:color w:val="auto"/>
          <w:szCs w:val="21"/>
          <w:highlight w:val="none"/>
        </w:rPr>
        <w:t>清，并对建筑垃圾工作当天及时清理运走，不准在现场堆放，并在第一时间运到指定堆放地点。不得倒入河道和生活垃圾容器。</w:t>
      </w:r>
    </w:p>
    <w:p>
      <w:pPr>
        <w:numPr>
          <w:ilvl w:val="1"/>
          <w:numId w:val="12"/>
        </w:numPr>
        <w:spacing w:line="360" w:lineRule="auto"/>
        <w:rPr>
          <w:rFonts w:ascii="宋体" w:hAnsi="宋体"/>
          <w:color w:val="auto"/>
          <w:szCs w:val="21"/>
          <w:highlight w:val="none"/>
        </w:rPr>
      </w:pPr>
      <w:r>
        <w:rPr>
          <w:rFonts w:ascii="宋体" w:hAnsi="宋体"/>
          <w:bCs/>
          <w:color w:val="auto"/>
          <w:szCs w:val="21"/>
          <w:highlight w:val="none"/>
        </w:rPr>
        <w:t>严禁高空抛物。工程建设中每个楼层的多余材料、建筑垃圾必须先集中，通过井架运输到地面，放到指定地点，严禁向下抛洒扬尘。一旦发现，每次扣工程款500元，不再返还，以</w:t>
      </w:r>
      <w:r>
        <w:rPr>
          <w:rFonts w:hint="eastAsia" w:ascii="宋体" w:hAnsi="宋体"/>
          <w:bCs/>
          <w:color w:val="auto"/>
          <w:szCs w:val="21"/>
          <w:highlight w:val="none"/>
        </w:rPr>
        <w:t>发包人</w:t>
      </w:r>
      <w:r>
        <w:rPr>
          <w:rFonts w:ascii="宋体" w:hAnsi="宋体"/>
          <w:bCs/>
          <w:color w:val="auto"/>
          <w:szCs w:val="21"/>
          <w:highlight w:val="none"/>
        </w:rPr>
        <w:t>或监理提出即生效。</w:t>
      </w:r>
      <w:r>
        <w:rPr>
          <w:rFonts w:hint="eastAsia" w:ascii="宋体" w:hAnsi="宋体"/>
          <w:color w:val="auto"/>
          <w:szCs w:val="21"/>
          <w:highlight w:val="none"/>
        </w:rPr>
        <w:t>在脚手架拆除期间内此条可允许有小量垃圾不受此限制，但较大量垃圾仍应遵守此项规定。</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混凝土搅拌浇捣和运输必须随时在场内清理干净，否则不得出场，翻斗车、砼吊斗等当天使用后应及时刮净、冲洗干净。</w:t>
      </w:r>
    </w:p>
    <w:p>
      <w:pPr>
        <w:numPr>
          <w:ilvl w:val="1"/>
          <w:numId w:val="12"/>
        </w:numPr>
        <w:spacing w:line="360" w:lineRule="auto"/>
        <w:rPr>
          <w:rFonts w:ascii="宋体" w:hAnsi="宋体"/>
          <w:color w:val="auto"/>
          <w:szCs w:val="21"/>
          <w:highlight w:val="none"/>
        </w:rPr>
      </w:pPr>
      <w:r>
        <w:rPr>
          <w:rFonts w:hint="eastAsia" w:ascii="宋体" w:hAnsi="宋体"/>
          <w:color w:val="auto"/>
          <w:szCs w:val="21"/>
          <w:highlight w:val="none"/>
        </w:rPr>
        <w:t>承包人</w:t>
      </w:r>
      <w:r>
        <w:rPr>
          <w:rFonts w:ascii="宋体" w:hAnsi="宋体"/>
          <w:color w:val="auto"/>
          <w:szCs w:val="21"/>
          <w:highlight w:val="none"/>
        </w:rPr>
        <w:t>必须根据苗木移植的有关规定对施工场地内原有树木绿化进行保护；如树木折损或死亡（非自然死亡或不可抗力导致的死亡），</w:t>
      </w:r>
      <w:r>
        <w:rPr>
          <w:rFonts w:hint="eastAsia" w:ascii="宋体" w:hAnsi="宋体"/>
          <w:color w:val="auto"/>
          <w:szCs w:val="21"/>
          <w:highlight w:val="none"/>
        </w:rPr>
        <w:t>承包人</w:t>
      </w:r>
      <w:r>
        <w:rPr>
          <w:rFonts w:ascii="宋体" w:hAnsi="宋体"/>
          <w:color w:val="auto"/>
          <w:szCs w:val="21"/>
          <w:highlight w:val="none"/>
        </w:rPr>
        <w:t>将承担全部责任。</w:t>
      </w:r>
    </w:p>
    <w:p>
      <w:pPr>
        <w:numPr>
          <w:ilvl w:val="1"/>
          <w:numId w:val="12"/>
        </w:numPr>
        <w:spacing w:line="360" w:lineRule="auto"/>
        <w:rPr>
          <w:rFonts w:ascii="宋体" w:hAnsi="宋体"/>
          <w:color w:val="auto"/>
          <w:szCs w:val="21"/>
          <w:highlight w:val="none"/>
        </w:rPr>
      </w:pPr>
      <w:r>
        <w:rPr>
          <w:rFonts w:hint="eastAsia" w:ascii="宋体" w:hAnsi="宋体"/>
          <w:color w:val="auto"/>
          <w:szCs w:val="21"/>
          <w:highlight w:val="none"/>
        </w:rPr>
        <w:t>禁止吸烟规定</w:t>
      </w:r>
    </w:p>
    <w:p>
      <w:pPr>
        <w:adjustRightInd w:val="0"/>
        <w:snapToGrid w:val="0"/>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为了提高在建项目的文明施工、安全防范等管理工作，彻底杜绝工地现场的火灾隐患，</w:t>
      </w:r>
      <w:r>
        <w:rPr>
          <w:rFonts w:hint="eastAsia" w:ascii="宋体" w:hAnsi="宋体"/>
          <w:bCs/>
          <w:color w:val="auto"/>
          <w:szCs w:val="21"/>
          <w:highlight w:val="none"/>
        </w:rPr>
        <w:t>禁止在施工现场流动吸烟</w:t>
      </w:r>
      <w:r>
        <w:rPr>
          <w:rFonts w:hint="eastAsia" w:ascii="宋体" w:hAnsi="宋体"/>
          <w:color w:val="auto"/>
          <w:szCs w:val="21"/>
          <w:highlight w:val="none"/>
        </w:rPr>
        <w:t>，具体操作如下：</w:t>
      </w:r>
    </w:p>
    <w:p>
      <w:pPr>
        <w:numPr>
          <w:ilvl w:val="0"/>
          <w:numId w:val="15"/>
        </w:numPr>
        <w:tabs>
          <w:tab w:val="left" w:pos="840"/>
          <w:tab w:val="left" w:pos="1080"/>
          <w:tab w:val="clear" w:pos="1620"/>
        </w:tabs>
        <w:adjustRightInd w:val="0"/>
        <w:snapToGrid w:val="0"/>
        <w:spacing w:line="360" w:lineRule="auto"/>
        <w:ind w:left="540" w:firstLine="315" w:firstLineChars="150"/>
        <w:rPr>
          <w:rFonts w:ascii="宋体" w:hAnsi="宋体"/>
          <w:color w:val="auto"/>
          <w:szCs w:val="21"/>
          <w:highlight w:val="none"/>
        </w:rPr>
      </w:pPr>
      <w:r>
        <w:rPr>
          <w:rFonts w:hint="eastAsia" w:ascii="宋体" w:hAnsi="宋体"/>
          <w:color w:val="auto"/>
          <w:szCs w:val="21"/>
          <w:highlight w:val="none"/>
        </w:rPr>
        <w:t>承包人必须在工地主入口设置明显的禁烟标志。</w:t>
      </w:r>
    </w:p>
    <w:p>
      <w:pPr>
        <w:numPr>
          <w:ilvl w:val="0"/>
          <w:numId w:val="15"/>
        </w:numPr>
        <w:tabs>
          <w:tab w:val="left" w:pos="840"/>
          <w:tab w:val="left" w:pos="1080"/>
          <w:tab w:val="clear" w:pos="1620"/>
        </w:tabs>
        <w:adjustRightInd w:val="0"/>
        <w:snapToGrid w:val="0"/>
        <w:spacing w:line="360" w:lineRule="auto"/>
        <w:ind w:left="840" w:firstLine="0"/>
        <w:rPr>
          <w:rFonts w:ascii="宋体" w:hAnsi="宋体"/>
          <w:color w:val="auto"/>
          <w:szCs w:val="21"/>
          <w:highlight w:val="none"/>
        </w:rPr>
      </w:pPr>
      <w:r>
        <w:rPr>
          <w:rFonts w:hint="eastAsia" w:ascii="宋体" w:hAnsi="宋体"/>
          <w:color w:val="auto"/>
          <w:szCs w:val="21"/>
          <w:highlight w:val="none"/>
        </w:rPr>
        <w:t>承包人必须在施工现场</w:t>
      </w:r>
      <w:r>
        <w:rPr>
          <w:rFonts w:hint="eastAsia" w:ascii="宋体" w:hAnsi="宋体"/>
          <w:bCs/>
          <w:color w:val="auto"/>
          <w:szCs w:val="21"/>
          <w:highlight w:val="none"/>
        </w:rPr>
        <w:t>设固定吸烟处并有明显标志</w:t>
      </w:r>
      <w:r>
        <w:rPr>
          <w:rFonts w:hint="eastAsia" w:ascii="宋体" w:hAnsi="宋体"/>
          <w:color w:val="auto"/>
          <w:szCs w:val="21"/>
          <w:highlight w:val="none"/>
        </w:rPr>
        <w:t>。</w:t>
      </w:r>
    </w:p>
    <w:p>
      <w:pPr>
        <w:numPr>
          <w:ilvl w:val="0"/>
          <w:numId w:val="15"/>
        </w:numPr>
        <w:tabs>
          <w:tab w:val="left" w:pos="1080"/>
        </w:tabs>
        <w:adjustRightInd w:val="0"/>
        <w:snapToGrid w:val="0"/>
        <w:spacing w:line="360" w:lineRule="auto"/>
        <w:ind w:left="840" w:firstLine="0"/>
        <w:rPr>
          <w:rFonts w:ascii="宋体" w:hAnsi="宋体"/>
          <w:bCs/>
          <w:color w:val="auto"/>
          <w:szCs w:val="21"/>
          <w:highlight w:val="none"/>
        </w:rPr>
      </w:pPr>
      <w:r>
        <w:rPr>
          <w:rFonts w:hint="eastAsia" w:ascii="宋体" w:hAnsi="宋体"/>
          <w:bCs/>
          <w:color w:val="auto"/>
          <w:szCs w:val="21"/>
          <w:highlight w:val="none"/>
        </w:rPr>
        <w:t>所有进入施工现场的施工人员（包括发包人指定分包工程施工人员）不得在非吸烟处吸烟，违章者每次</w:t>
      </w:r>
      <w:r>
        <w:rPr>
          <w:rFonts w:hint="eastAsia" w:ascii="宋体" w:hAnsi="宋体"/>
          <w:color w:val="auto"/>
          <w:szCs w:val="21"/>
          <w:highlight w:val="none"/>
        </w:rPr>
        <w:t>支付违约金</w:t>
      </w:r>
      <w:r>
        <w:rPr>
          <w:rFonts w:ascii="宋体" w:hAnsi="宋体"/>
          <w:bCs/>
          <w:color w:val="auto"/>
          <w:szCs w:val="21"/>
          <w:highlight w:val="none"/>
        </w:rPr>
        <w:t>50元，并由</w:t>
      </w:r>
      <w:r>
        <w:rPr>
          <w:rFonts w:hint="eastAsia" w:ascii="宋体" w:hAnsi="宋体"/>
          <w:bCs/>
          <w:color w:val="auto"/>
          <w:szCs w:val="21"/>
          <w:highlight w:val="none"/>
        </w:rPr>
        <w:t>承包人</w:t>
      </w:r>
      <w:r>
        <w:rPr>
          <w:rFonts w:ascii="宋体" w:hAnsi="宋体"/>
          <w:bCs/>
          <w:color w:val="auto"/>
          <w:szCs w:val="21"/>
          <w:highlight w:val="none"/>
        </w:rPr>
        <w:t>在3天内以现金形式交</w:t>
      </w:r>
      <w:r>
        <w:rPr>
          <w:rFonts w:hint="eastAsia" w:ascii="宋体" w:hAnsi="宋体"/>
          <w:bCs/>
          <w:color w:val="auto"/>
          <w:szCs w:val="21"/>
          <w:highlight w:val="none"/>
        </w:rPr>
        <w:t>发包人</w:t>
      </w:r>
      <w:r>
        <w:rPr>
          <w:rFonts w:ascii="宋体" w:hAnsi="宋体"/>
          <w:bCs/>
          <w:color w:val="auto"/>
          <w:szCs w:val="21"/>
          <w:highlight w:val="none"/>
        </w:rPr>
        <w:t>。</w:t>
      </w:r>
    </w:p>
    <w:p>
      <w:pPr>
        <w:numPr>
          <w:ilvl w:val="0"/>
          <w:numId w:val="15"/>
        </w:numPr>
        <w:tabs>
          <w:tab w:val="left" w:pos="840"/>
          <w:tab w:val="left" w:pos="1080"/>
        </w:tabs>
        <w:adjustRightInd w:val="0"/>
        <w:snapToGrid w:val="0"/>
        <w:spacing w:line="360" w:lineRule="auto"/>
        <w:ind w:left="840" w:firstLine="0"/>
        <w:rPr>
          <w:rFonts w:ascii="宋体" w:hAnsi="宋体"/>
          <w:bCs/>
          <w:color w:val="auto"/>
          <w:szCs w:val="21"/>
          <w:highlight w:val="none"/>
        </w:rPr>
      </w:pPr>
      <w:r>
        <w:rPr>
          <w:rFonts w:hint="eastAsia" w:ascii="宋体" w:hAnsi="宋体"/>
          <w:color w:val="auto"/>
          <w:szCs w:val="21"/>
          <w:highlight w:val="none"/>
        </w:rPr>
        <w:t>除对违章者个人违约金外，将对违章者所属承包人处以500元/次违约金</w:t>
      </w:r>
      <w:r>
        <w:rPr>
          <w:rFonts w:ascii="宋体" w:hAnsi="宋体"/>
          <w:color w:val="auto"/>
          <w:szCs w:val="21"/>
          <w:highlight w:val="none"/>
        </w:rPr>
        <w:t>，并由</w:t>
      </w:r>
      <w:r>
        <w:rPr>
          <w:rFonts w:hint="eastAsia" w:ascii="宋体" w:hAnsi="宋体"/>
          <w:color w:val="auto"/>
          <w:szCs w:val="21"/>
          <w:highlight w:val="none"/>
        </w:rPr>
        <w:t>承包人</w:t>
      </w:r>
      <w:r>
        <w:rPr>
          <w:rFonts w:ascii="宋体" w:hAnsi="宋体"/>
          <w:color w:val="auto"/>
          <w:szCs w:val="21"/>
          <w:highlight w:val="none"/>
        </w:rPr>
        <w:t>在3天内以现金形式交</w:t>
      </w:r>
      <w:r>
        <w:rPr>
          <w:rFonts w:hint="eastAsia" w:ascii="宋体" w:hAnsi="宋体"/>
          <w:color w:val="auto"/>
          <w:szCs w:val="21"/>
          <w:highlight w:val="none"/>
        </w:rPr>
        <w:t>发包人</w:t>
      </w:r>
      <w:r>
        <w:rPr>
          <w:rFonts w:ascii="宋体" w:hAnsi="宋体"/>
          <w:bCs/>
          <w:color w:val="auto"/>
          <w:szCs w:val="21"/>
          <w:highlight w:val="none"/>
        </w:rPr>
        <w:t>。</w:t>
      </w:r>
    </w:p>
    <w:p>
      <w:pPr>
        <w:numPr>
          <w:ilvl w:val="0"/>
          <w:numId w:val="15"/>
        </w:numPr>
        <w:tabs>
          <w:tab w:val="left" w:pos="840"/>
          <w:tab w:val="left" w:pos="1080"/>
          <w:tab w:val="clear" w:pos="1620"/>
        </w:tabs>
        <w:adjustRightInd w:val="0"/>
        <w:snapToGrid w:val="0"/>
        <w:spacing w:line="360" w:lineRule="auto"/>
        <w:ind w:left="840" w:firstLine="0"/>
        <w:rPr>
          <w:rFonts w:ascii="宋体" w:hAnsi="宋体"/>
          <w:bCs/>
          <w:color w:val="auto"/>
          <w:szCs w:val="21"/>
          <w:highlight w:val="none"/>
        </w:rPr>
      </w:pPr>
      <w:r>
        <w:rPr>
          <w:rFonts w:hint="eastAsia" w:ascii="宋体" w:hAnsi="宋体"/>
          <w:bCs/>
          <w:color w:val="auto"/>
          <w:szCs w:val="21"/>
          <w:highlight w:val="none"/>
        </w:rPr>
        <w:t>如果同一个承包人五次违反相同条例，</w:t>
      </w:r>
      <w:r>
        <w:rPr>
          <w:rFonts w:hint="eastAsia" w:ascii="宋体" w:hAnsi="宋体"/>
          <w:color w:val="auto"/>
          <w:szCs w:val="21"/>
          <w:highlight w:val="none"/>
        </w:rPr>
        <w:t>将对违章者所属承包人处以100元/次违约金</w:t>
      </w:r>
      <w:r>
        <w:rPr>
          <w:rFonts w:ascii="宋体" w:hAnsi="宋体"/>
          <w:bCs/>
          <w:color w:val="auto"/>
          <w:szCs w:val="21"/>
          <w:highlight w:val="none"/>
        </w:rPr>
        <w:t>。对拒不执行者，勒令停工直至驱逐。</w:t>
      </w:r>
    </w:p>
    <w:p>
      <w:pPr>
        <w:numPr>
          <w:ilvl w:val="1"/>
          <w:numId w:val="12"/>
        </w:numPr>
        <w:spacing w:line="360" w:lineRule="auto"/>
        <w:rPr>
          <w:rFonts w:ascii="宋体" w:hAnsi="宋体"/>
          <w:color w:val="auto"/>
          <w:szCs w:val="21"/>
          <w:highlight w:val="none"/>
        </w:rPr>
      </w:pPr>
      <w:r>
        <w:rPr>
          <w:rFonts w:hint="eastAsia" w:ascii="宋体" w:hAnsi="宋体"/>
          <w:color w:val="auto"/>
          <w:szCs w:val="21"/>
          <w:highlight w:val="none"/>
        </w:rPr>
        <w:t>人货梯</w:t>
      </w:r>
      <w:r>
        <w:rPr>
          <w:rFonts w:ascii="宋体" w:hAnsi="宋体"/>
          <w:color w:val="auto"/>
          <w:szCs w:val="21"/>
          <w:highlight w:val="none"/>
        </w:rPr>
        <w:t>搭设要符合规范要求。四角轧桩牢固，或用砼基础预埋底脚螺栓连接架体稳定架体同建筑物拉结牢靠。</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塔吊的三保险五限位必须齐全有效，定机定人定指挥，挂验收合格牌、设备技术性能牌和上岗人员牌，施工电梯安全保险装置齐全有效，楼层出入口门栏齐全实用，底层设双层防护棚，挂验收合格牌、额定荷载牌、操作人员牌。</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安全标牌：现场有安全宣传牌，主要施工部位、作业点和危险区域以及主要通道口应设醒目的安全宣传标牌和合适的安全警告牌。</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现场使用的电箱、电器和线路架设符合标准。箱体颜色醒目、门锁全，有色标有编号。</w:t>
      </w:r>
    </w:p>
    <w:p>
      <w:pPr>
        <w:numPr>
          <w:ilvl w:val="1"/>
          <w:numId w:val="12"/>
        </w:numPr>
        <w:spacing w:line="360" w:lineRule="auto"/>
        <w:rPr>
          <w:rFonts w:ascii="宋体" w:hAnsi="宋体"/>
          <w:color w:val="auto"/>
          <w:szCs w:val="21"/>
          <w:highlight w:val="none"/>
        </w:rPr>
      </w:pPr>
      <w:r>
        <w:rPr>
          <w:rFonts w:ascii="宋体" w:hAnsi="宋体"/>
          <w:color w:val="auto"/>
          <w:szCs w:val="21"/>
          <w:highlight w:val="none"/>
        </w:rPr>
        <w:t>施工现场应配备合适、足够的消防器材，并有专管人员做到责任到人。各类消防设施完好，配备合理；油库、危险品仓库等重点部位应配备足够数量种类合适的灭火</w:t>
      </w:r>
      <w:r>
        <w:rPr>
          <w:rFonts w:hint="eastAsia" w:ascii="宋体" w:hAnsi="宋体"/>
          <w:color w:val="auto"/>
          <w:szCs w:val="21"/>
          <w:highlight w:val="none"/>
        </w:rPr>
        <w:t>器</w:t>
      </w:r>
      <w:r>
        <w:rPr>
          <w:rFonts w:ascii="宋体" w:hAnsi="宋体"/>
          <w:color w:val="auto"/>
          <w:szCs w:val="21"/>
          <w:highlight w:val="none"/>
        </w:rPr>
        <w:t>，木工间、油漆间等每25平方米建筑面积配备一只灭火</w:t>
      </w:r>
      <w:r>
        <w:rPr>
          <w:rFonts w:hint="eastAsia" w:ascii="宋体" w:hAnsi="宋体"/>
          <w:color w:val="auto"/>
          <w:szCs w:val="21"/>
          <w:highlight w:val="none"/>
        </w:rPr>
        <w:t>器</w:t>
      </w:r>
      <w:r>
        <w:rPr>
          <w:rFonts w:ascii="宋体" w:hAnsi="宋体"/>
          <w:color w:val="auto"/>
          <w:szCs w:val="21"/>
          <w:highlight w:val="none"/>
        </w:rPr>
        <w:t>，非重点仓库等建筑物区域每100平方米建筑面积配备二只灭火</w:t>
      </w:r>
      <w:r>
        <w:rPr>
          <w:rFonts w:hint="eastAsia" w:ascii="宋体" w:hAnsi="宋体"/>
          <w:color w:val="auto"/>
          <w:szCs w:val="21"/>
          <w:highlight w:val="none"/>
        </w:rPr>
        <w:t>器</w:t>
      </w:r>
      <w:r>
        <w:rPr>
          <w:rFonts w:ascii="宋体" w:hAnsi="宋体"/>
          <w:color w:val="auto"/>
          <w:szCs w:val="21"/>
          <w:highlight w:val="none"/>
        </w:rPr>
        <w:t>，脚手架每层配备灭火</w:t>
      </w:r>
      <w:r>
        <w:rPr>
          <w:rFonts w:hint="eastAsia" w:ascii="宋体" w:hAnsi="宋体"/>
          <w:color w:val="auto"/>
          <w:szCs w:val="21"/>
          <w:highlight w:val="none"/>
        </w:rPr>
        <w:t>器</w:t>
      </w:r>
      <w:r>
        <w:rPr>
          <w:rFonts w:ascii="宋体" w:hAnsi="宋体"/>
          <w:color w:val="auto"/>
          <w:szCs w:val="21"/>
          <w:highlight w:val="none"/>
        </w:rPr>
        <w:t>。</w:t>
      </w:r>
      <w:r>
        <w:rPr>
          <w:rFonts w:hint="eastAsia" w:ascii="宋体" w:hAnsi="宋体"/>
          <w:color w:val="auto"/>
          <w:szCs w:val="21"/>
          <w:highlight w:val="none"/>
        </w:rPr>
        <w:t>承包人</w:t>
      </w:r>
      <w:r>
        <w:rPr>
          <w:rFonts w:ascii="宋体" w:hAnsi="宋体"/>
          <w:color w:val="auto"/>
          <w:szCs w:val="21"/>
          <w:highlight w:val="none"/>
        </w:rPr>
        <w:t>必须严格执行三级动火审批制度，明火操作有专人监护，并配有灭火器及隔离措施。氧气和乙炔瓶的放置距离必须满足规范要求。油库、油漆间、木工间和化学品，易燃易爆物品均设有专间和专人负责，配备适合的灭火器，并要醒目易取。</w:t>
      </w:r>
    </w:p>
    <w:p>
      <w:pPr>
        <w:numPr>
          <w:ilvl w:val="1"/>
          <w:numId w:val="12"/>
        </w:numPr>
        <w:spacing w:line="360" w:lineRule="auto"/>
        <w:jc w:val="left"/>
        <w:rPr>
          <w:rFonts w:ascii="宋体" w:hAnsi="宋体"/>
          <w:color w:val="auto"/>
          <w:szCs w:val="21"/>
          <w:highlight w:val="none"/>
        </w:rPr>
      </w:pPr>
      <w:r>
        <w:rPr>
          <w:rFonts w:hint="eastAsia" w:ascii="宋体" w:hAnsi="宋体"/>
          <w:color w:val="auto"/>
          <w:szCs w:val="21"/>
          <w:highlight w:val="none"/>
        </w:rPr>
        <w:t>承包人应遵从国家及地方建设工程施工现场管理的有关规定</w:t>
      </w:r>
      <w:r>
        <w:rPr>
          <w:rFonts w:ascii="宋体" w:hAnsi="宋体"/>
          <w:color w:val="auto"/>
          <w:szCs w:val="21"/>
          <w:highlight w:val="none"/>
        </w:rPr>
        <w:t>。</w:t>
      </w:r>
    </w:p>
    <w:p>
      <w:pPr>
        <w:numPr>
          <w:ilvl w:val="1"/>
          <w:numId w:val="12"/>
        </w:numPr>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承包人投标报价时要求列明安全文明施工措施费的详细清单，以便进场后做到专款专用，未能列明详细内容或未予以发生的，发包人将予以扣除。</w:t>
      </w:r>
    </w:p>
    <w:p>
      <w:pPr>
        <w:numPr>
          <w:ilvl w:val="1"/>
          <w:numId w:val="12"/>
        </w:numPr>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对于施工过程中各方检查需要整改的，若承包人不按要求按时完成质量、安全文明措施等整改的，发包人可启动第三方单位负责整改，由此产生费用以发包人审核为准，并以负签证形式扣罚承包人，用于支付第三方进场整改发生的所有费用，包括但不限于劳务、材料、设备、住宿费等；</w:t>
      </w:r>
    </w:p>
    <w:p>
      <w:pPr>
        <w:numPr>
          <w:ilvl w:val="1"/>
          <w:numId w:val="12"/>
        </w:numPr>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施工过程中必须严格执行《广州市轨道交通管理条例》、《城市轨道交通既有结构保护技术规范》、《广州地铁集团有限公司房地产事业总部地铁设施保护管理手册》、《广州地铁集团有限公司房地产事业总部工程项目地铁设施保护工作指引》以及品秀公司发布的《广州市品秀房地产开发有限公司地铁保护区管理细则》；</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承包人必须按照广州市建委关于施工工地远程监控的有关要求设置足够的摄像头及其他设施，其他由承包人负责，并能够满足发包人标准要求，要求整个施工过程中的影像资料必须全部备份保存完整并定期移交发包人，做好配合影像资料传输、对接等工作，上述所有费用由承包人承担。</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承包人的办公区安排进场后根据现场情况进行布置，现场不设生活区，其由承包人自行解决，包含在总报价中。</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现场范围内</w:t>
      </w:r>
      <w:r>
        <w:rPr>
          <w:color w:val="auto"/>
          <w:highlight w:val="none"/>
        </w:rPr>
        <w:fldChar w:fldCharType="begin"/>
      </w:r>
      <w:r>
        <w:rPr>
          <w:color w:val="auto"/>
          <w:highlight w:val="none"/>
        </w:rPr>
        <w:instrText xml:space="preserve"> HYPERLINK "http://baike.baidu.com/subview/31438/5032704.htm" \t "http://baike.baidu.com/_blank" </w:instrText>
      </w:r>
      <w:r>
        <w:rPr>
          <w:color w:val="auto"/>
          <w:highlight w:val="none"/>
        </w:rPr>
        <w:fldChar w:fldCharType="separate"/>
      </w:r>
      <w:r>
        <w:rPr>
          <w:rStyle w:val="71"/>
          <w:rFonts w:hint="eastAsia" w:ascii="宋体" w:hAnsi="宋体" w:cs="宋体"/>
          <w:color w:val="auto"/>
          <w:szCs w:val="21"/>
          <w:highlight w:val="none"/>
          <w:shd w:val="clear" w:color="auto" w:fill="FFFFFF"/>
        </w:rPr>
        <w:t>企业标志</w:t>
      </w:r>
      <w:r>
        <w:rPr>
          <w:rStyle w:val="71"/>
          <w:rFonts w:ascii="宋体" w:hAnsi="宋体" w:cs="宋体"/>
          <w:color w:val="auto"/>
          <w:szCs w:val="21"/>
          <w:highlight w:val="none"/>
          <w:shd w:val="clear" w:color="auto" w:fill="FFFFFF"/>
        </w:rPr>
        <w:t>(Corporate Identity)</w:t>
      </w:r>
      <w:r>
        <w:rPr>
          <w:rStyle w:val="71"/>
          <w:rFonts w:ascii="宋体" w:hAnsi="宋体" w:cs="宋体"/>
          <w:color w:val="auto"/>
          <w:szCs w:val="21"/>
          <w:highlight w:val="none"/>
          <w:shd w:val="clear" w:color="auto" w:fill="FFFFFF"/>
        </w:rPr>
        <w:fldChar w:fldCharType="end"/>
      </w:r>
      <w:r>
        <w:rPr>
          <w:rFonts w:hint="eastAsia" w:ascii="宋体" w:hAnsi="宋体" w:cs="宋体"/>
          <w:bCs/>
          <w:color w:val="auto"/>
          <w:kern w:val="0"/>
          <w:szCs w:val="21"/>
          <w:highlight w:val="none"/>
        </w:rPr>
        <w:t>的设置必须符合越秀地产或承包总公司的</w:t>
      </w:r>
      <w:r>
        <w:rPr>
          <w:rFonts w:ascii="宋体" w:hAnsi="宋体" w:cs="宋体"/>
          <w:bCs/>
          <w:color w:val="auto"/>
          <w:kern w:val="0"/>
          <w:szCs w:val="21"/>
          <w:highlight w:val="none"/>
        </w:rPr>
        <w:t xml:space="preserve">CI </w:t>
      </w:r>
      <w:r>
        <w:rPr>
          <w:rFonts w:hint="eastAsia" w:ascii="宋体" w:hAnsi="宋体" w:cs="宋体"/>
          <w:bCs/>
          <w:color w:val="auto"/>
          <w:kern w:val="0"/>
          <w:szCs w:val="21"/>
          <w:highlight w:val="none"/>
        </w:rPr>
        <w:t>要求，如果发生与越秀</w:t>
      </w:r>
      <w:r>
        <w:rPr>
          <w:color w:val="auto"/>
          <w:highlight w:val="none"/>
        </w:rPr>
        <w:fldChar w:fldCharType="begin"/>
      </w:r>
      <w:r>
        <w:rPr>
          <w:color w:val="auto"/>
          <w:highlight w:val="none"/>
        </w:rPr>
        <w:instrText xml:space="preserve"> HYPERLINK "http://baike.baidu.com/subview/31438/5032704.htm" \t "http://baike.baidu.com/_blank" </w:instrText>
      </w:r>
      <w:r>
        <w:rPr>
          <w:color w:val="auto"/>
          <w:highlight w:val="none"/>
        </w:rPr>
        <w:fldChar w:fldCharType="separate"/>
      </w:r>
      <w:r>
        <w:rPr>
          <w:rStyle w:val="71"/>
          <w:rFonts w:hint="eastAsia" w:ascii="宋体" w:hAnsi="宋体" w:cs="宋体"/>
          <w:color w:val="auto"/>
          <w:szCs w:val="21"/>
          <w:highlight w:val="none"/>
          <w:shd w:val="clear" w:color="auto" w:fill="FFFFFF"/>
        </w:rPr>
        <w:t>企业标志</w:t>
      </w:r>
      <w:r>
        <w:rPr>
          <w:rStyle w:val="71"/>
          <w:rFonts w:ascii="宋体" w:hAnsi="宋体" w:cs="宋体"/>
          <w:color w:val="auto"/>
          <w:szCs w:val="21"/>
          <w:highlight w:val="none"/>
          <w:shd w:val="clear" w:color="auto" w:fill="FFFFFF"/>
        </w:rPr>
        <w:t>(Corporate Identity)</w:t>
      </w:r>
      <w:r>
        <w:rPr>
          <w:rStyle w:val="71"/>
          <w:rFonts w:ascii="宋体" w:hAnsi="宋体" w:cs="宋体"/>
          <w:color w:val="auto"/>
          <w:szCs w:val="21"/>
          <w:highlight w:val="none"/>
          <w:shd w:val="clear" w:color="auto" w:fill="FFFFFF"/>
        </w:rPr>
        <w:fldChar w:fldCharType="end"/>
      </w:r>
      <w:r>
        <w:rPr>
          <w:rFonts w:hint="eastAsia" w:ascii="宋体" w:hAnsi="宋体" w:cs="宋体"/>
          <w:bCs/>
          <w:color w:val="auto"/>
          <w:kern w:val="0"/>
          <w:szCs w:val="21"/>
          <w:highlight w:val="none"/>
        </w:rPr>
        <w:t>要求冲突情况必须以越秀相关要求为准。</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承包人须在现场设置卫生间，并保持卫生间清洁卫生，所有费用已包干。</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要求承包人在首层场地设置专门的饮水处，供应足够的开水供工人饮用。夏季炎热时段（</w:t>
      </w:r>
      <w:r>
        <w:rPr>
          <w:rFonts w:ascii="宋体" w:hAnsi="宋体" w:cs="宋体"/>
          <w:bCs/>
          <w:color w:val="auto"/>
          <w:kern w:val="0"/>
          <w:szCs w:val="21"/>
          <w:highlight w:val="none"/>
        </w:rPr>
        <w:t>6</w:t>
      </w:r>
      <w:r>
        <w:rPr>
          <w:rFonts w:hint="eastAsia" w:ascii="宋体" w:hAnsi="宋体" w:cs="宋体"/>
          <w:bCs/>
          <w:color w:val="auto"/>
          <w:kern w:val="0"/>
          <w:szCs w:val="21"/>
          <w:highlight w:val="none"/>
        </w:rPr>
        <w:t>月至</w:t>
      </w:r>
      <w:r>
        <w:rPr>
          <w:rFonts w:ascii="宋体" w:hAnsi="宋体" w:cs="宋体"/>
          <w:bCs/>
          <w:color w:val="auto"/>
          <w:kern w:val="0"/>
          <w:szCs w:val="21"/>
          <w:highlight w:val="none"/>
        </w:rPr>
        <w:t>10</w:t>
      </w:r>
      <w:r>
        <w:rPr>
          <w:rFonts w:hint="eastAsia" w:ascii="宋体" w:hAnsi="宋体" w:cs="宋体"/>
          <w:bCs/>
          <w:color w:val="auto"/>
          <w:kern w:val="0"/>
          <w:szCs w:val="21"/>
          <w:highlight w:val="none"/>
        </w:rPr>
        <w:t>月）需供应凉茶等消暑饮用品。</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现场严禁发生打架斗殴事件，如果发生打架斗殴的，不论打架方是否有理，发包人将对参与单位处以</w:t>
      </w:r>
      <w:r>
        <w:rPr>
          <w:rFonts w:ascii="宋体" w:hAnsi="宋体" w:cs="宋体"/>
          <w:bCs/>
          <w:color w:val="auto"/>
          <w:kern w:val="0"/>
          <w:szCs w:val="21"/>
          <w:highlight w:val="none"/>
        </w:rPr>
        <w:t xml:space="preserve">5000-20000 </w:t>
      </w:r>
      <w:r>
        <w:rPr>
          <w:rFonts w:hint="eastAsia" w:ascii="宋体" w:hAnsi="宋体" w:cs="宋体"/>
          <w:bCs/>
          <w:color w:val="auto"/>
          <w:kern w:val="0"/>
          <w:szCs w:val="21"/>
          <w:highlight w:val="none"/>
        </w:rPr>
        <w:t>元的违约金，且参与打架人员不得在本项目继续从事任何工作。如果因承包人原因，如未能及时发放工人工资等，造成承包人工人冲突发包人或监理办公室、售楼部或开放区、或对发包人和监理人员进行威胁或造成伤害的，对承包人处以不低于</w:t>
      </w:r>
      <w:r>
        <w:rPr>
          <w:rFonts w:ascii="宋体" w:hAnsi="宋体" w:cs="宋体"/>
          <w:bCs/>
          <w:color w:val="auto"/>
          <w:kern w:val="0"/>
          <w:szCs w:val="21"/>
          <w:highlight w:val="none"/>
        </w:rPr>
        <w:t>50000</w:t>
      </w:r>
      <w:r>
        <w:rPr>
          <w:rFonts w:hint="eastAsia" w:ascii="宋体" w:hAnsi="宋体" w:cs="宋体"/>
          <w:bCs/>
          <w:color w:val="auto"/>
          <w:kern w:val="0"/>
          <w:szCs w:val="21"/>
          <w:highlight w:val="none"/>
        </w:rPr>
        <w:t>元/次违约金。</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现场的安全文明施工由承包人负责统一管理，包括对分包单位的管理，要求承包人必须与所</w:t>
      </w:r>
      <w:r>
        <w:rPr>
          <w:rFonts w:hint="eastAsia" w:ascii="宋体" w:hAnsi="宋体" w:cs="宋体"/>
          <w:color w:val="auto"/>
          <w:highlight w:val="none"/>
        </w:rPr>
        <w:t>有</w:t>
      </w:r>
      <w:r>
        <w:rPr>
          <w:rFonts w:hint="eastAsia" w:ascii="宋体" w:hAnsi="宋体" w:cs="宋体"/>
          <w:bCs/>
          <w:color w:val="auto"/>
          <w:kern w:val="0"/>
          <w:szCs w:val="21"/>
          <w:highlight w:val="none"/>
        </w:rPr>
        <w:t>进场分包单位签订总分包协议及安全文明施工责任书，承包人有权对不符合安全文明施工要求的分包单位做出处罚建议，由发包人进行处理。如承包人未能尽到此项责任，发包人将对承包人处以</w:t>
      </w:r>
      <w:r>
        <w:rPr>
          <w:rFonts w:ascii="宋体" w:hAnsi="宋体" w:cs="宋体"/>
          <w:bCs/>
          <w:color w:val="auto"/>
          <w:kern w:val="0"/>
          <w:szCs w:val="21"/>
          <w:highlight w:val="none"/>
        </w:rPr>
        <w:t>10</w:t>
      </w:r>
      <w:r>
        <w:rPr>
          <w:rFonts w:hint="eastAsia" w:ascii="宋体" w:hAnsi="宋体" w:cs="宋体"/>
          <w:bCs/>
          <w:color w:val="auto"/>
          <w:kern w:val="0"/>
          <w:szCs w:val="21"/>
          <w:highlight w:val="none"/>
        </w:rPr>
        <w:t>万至</w:t>
      </w:r>
      <w:r>
        <w:rPr>
          <w:rFonts w:ascii="宋体" w:hAnsi="宋体" w:cs="宋体"/>
          <w:bCs/>
          <w:color w:val="auto"/>
          <w:kern w:val="0"/>
          <w:szCs w:val="21"/>
          <w:highlight w:val="none"/>
        </w:rPr>
        <w:t>20</w:t>
      </w:r>
      <w:r>
        <w:rPr>
          <w:rFonts w:hint="eastAsia" w:ascii="宋体" w:hAnsi="宋体" w:cs="宋体"/>
          <w:bCs/>
          <w:color w:val="auto"/>
          <w:kern w:val="0"/>
          <w:szCs w:val="21"/>
          <w:highlight w:val="none"/>
        </w:rPr>
        <w:t>万元违约金。</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整个施工现场及生活区严禁出现重大安全事故，杜绝人员伤亡。发生人员死亡事故的，除责任单位完成赔偿及相关处理外，发包人将对责任单位处以每人/次</w:t>
      </w:r>
      <w:r>
        <w:rPr>
          <w:rFonts w:ascii="宋体" w:hAnsi="宋体" w:cs="宋体"/>
          <w:bCs/>
          <w:color w:val="auto"/>
          <w:kern w:val="0"/>
          <w:szCs w:val="21"/>
          <w:highlight w:val="none"/>
        </w:rPr>
        <w:t>50</w:t>
      </w:r>
      <w:r>
        <w:rPr>
          <w:rFonts w:hint="eastAsia" w:ascii="宋体" w:hAnsi="宋体" w:cs="宋体"/>
          <w:bCs/>
          <w:color w:val="auto"/>
          <w:kern w:val="0"/>
          <w:szCs w:val="21"/>
          <w:highlight w:val="none"/>
        </w:rPr>
        <w:t>万元的违约金。</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地下室的排水，在地库正式排水系统未正常使用前，由承包人负责，要保证地库无积水，发现一次积水现象，发包人将对承包人处以不少于</w:t>
      </w:r>
      <w:r>
        <w:rPr>
          <w:rFonts w:ascii="宋体" w:hAnsi="宋体" w:cs="宋体"/>
          <w:bCs/>
          <w:color w:val="auto"/>
          <w:kern w:val="0"/>
          <w:szCs w:val="21"/>
          <w:highlight w:val="none"/>
        </w:rPr>
        <w:t xml:space="preserve">2000 </w:t>
      </w:r>
      <w:r>
        <w:rPr>
          <w:rFonts w:hint="eastAsia" w:ascii="宋体" w:hAnsi="宋体" w:cs="宋体"/>
          <w:bCs/>
          <w:color w:val="auto"/>
          <w:kern w:val="0"/>
          <w:szCs w:val="21"/>
          <w:highlight w:val="none"/>
        </w:rPr>
        <w:t>元/次的违约金。遇暴雨情况造成的积水要求在</w:t>
      </w:r>
      <w:r>
        <w:rPr>
          <w:rFonts w:ascii="宋体" w:hAnsi="宋体" w:cs="宋体"/>
          <w:bCs/>
          <w:color w:val="auto"/>
          <w:kern w:val="0"/>
          <w:szCs w:val="21"/>
          <w:highlight w:val="none"/>
        </w:rPr>
        <w:t>24</w:t>
      </w:r>
      <w:r>
        <w:rPr>
          <w:rFonts w:hint="eastAsia" w:ascii="宋体" w:hAnsi="宋体" w:cs="宋体"/>
          <w:bCs/>
          <w:color w:val="auto"/>
          <w:kern w:val="0"/>
          <w:szCs w:val="21"/>
          <w:highlight w:val="none"/>
        </w:rPr>
        <w:t>小时内抽排干净。</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地下室施工期间所有垃圾清运及消纳由承包人负责，各分包单位进场均由承包人交底规定该层地库垃圾指定堆放位置，指定位置要做显著标志并设垃圾池，每周清运不少于</w:t>
      </w:r>
      <w:r>
        <w:rPr>
          <w:rFonts w:ascii="宋体" w:hAnsi="宋体" w:cs="宋体"/>
          <w:bCs/>
          <w:color w:val="auto"/>
          <w:kern w:val="0"/>
          <w:szCs w:val="21"/>
          <w:highlight w:val="none"/>
        </w:rPr>
        <w:t>1</w:t>
      </w:r>
      <w:r>
        <w:rPr>
          <w:rFonts w:hint="eastAsia" w:ascii="宋体" w:hAnsi="宋体" w:cs="宋体"/>
          <w:bCs/>
          <w:color w:val="auto"/>
          <w:kern w:val="0"/>
          <w:szCs w:val="21"/>
          <w:highlight w:val="none"/>
        </w:rPr>
        <w:t>次，如现场需要增加清运次数，承包人必须按发包人现场要求执行。</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走火梯、电梯厅内统一设置楼层号，要求结构完成及抹灰完成后第一时间设置，字体样式及作法要求报发包人确认。</w:t>
      </w:r>
    </w:p>
    <w:p>
      <w:pPr>
        <w:numPr>
          <w:ilvl w:val="1"/>
          <w:numId w:val="12"/>
        </w:numPr>
        <w:spacing w:line="360" w:lineRule="auto"/>
        <w:jc w:val="left"/>
        <w:rPr>
          <w:rFonts w:ascii="宋体" w:hAnsi="宋体" w:cs="宋体"/>
          <w:bCs/>
          <w:color w:val="auto"/>
          <w:kern w:val="0"/>
          <w:szCs w:val="21"/>
          <w:highlight w:val="none"/>
        </w:rPr>
      </w:pPr>
      <w:r>
        <w:rPr>
          <w:rFonts w:ascii="宋体" w:hAnsi="宋体" w:cs="宋体"/>
          <w:bCs/>
          <w:color w:val="auto"/>
          <w:kern w:val="0"/>
          <w:szCs w:val="21"/>
          <w:highlight w:val="none"/>
        </w:rPr>
        <w:t xml:space="preserve"> </w:t>
      </w:r>
      <w:r>
        <w:rPr>
          <w:rFonts w:hint="eastAsia" w:ascii="宋体" w:hAnsi="宋体" w:cs="宋体"/>
          <w:bCs/>
          <w:color w:val="auto"/>
          <w:kern w:val="0"/>
          <w:szCs w:val="21"/>
          <w:highlight w:val="none"/>
        </w:rPr>
        <w:t>楼层电梯井防护门要求采用钢质定型门进行防护，样式需报发包人确认。电梯井道水平防护样式需报发包人确认。</w:t>
      </w:r>
    </w:p>
    <w:p>
      <w:pPr>
        <w:numPr>
          <w:ilvl w:val="1"/>
          <w:numId w:val="12"/>
        </w:numPr>
        <w:spacing w:line="360" w:lineRule="auto"/>
        <w:jc w:val="left"/>
        <w:rPr>
          <w:rFonts w:ascii="宋体" w:hAnsi="宋体" w:cs="宋体"/>
          <w:bCs/>
          <w:color w:val="auto"/>
          <w:kern w:val="0"/>
          <w:szCs w:val="21"/>
          <w:highlight w:val="none"/>
        </w:rPr>
      </w:pPr>
      <w:r>
        <w:rPr>
          <w:rFonts w:hint="eastAsia" w:ascii="宋体" w:hAnsi="宋体" w:cs="宋体"/>
          <w:bCs/>
          <w:color w:val="auto"/>
          <w:kern w:val="0"/>
          <w:szCs w:val="21"/>
          <w:highlight w:val="none"/>
        </w:rPr>
        <w:t>承包人</w:t>
      </w:r>
      <w:r>
        <w:rPr>
          <w:rFonts w:hint="eastAsia" w:ascii="宋体" w:hAnsi="宋体" w:cs="仿宋"/>
          <w:color w:val="auto"/>
          <w:kern w:val="0"/>
          <w:highlight w:val="none"/>
        </w:rPr>
        <w:t>施工期间必须满足广州市及地铁方对施工现场扬尘、噪声排放等安全文明施工要求</w:t>
      </w:r>
      <w:r>
        <w:rPr>
          <w:rFonts w:ascii="宋体" w:hAnsi="宋体" w:cs="宋体"/>
          <w:bCs/>
          <w:color w:val="auto"/>
          <w:kern w:val="0"/>
          <w:szCs w:val="21"/>
          <w:highlight w:val="none"/>
        </w:rPr>
        <w:t>。</w:t>
      </w:r>
    </w:p>
    <w:p>
      <w:pPr>
        <w:pStyle w:val="714"/>
        <w:numPr>
          <w:ilvl w:val="0"/>
          <w:numId w:val="7"/>
        </w:numPr>
        <w:autoSpaceDE w:val="0"/>
        <w:autoSpaceDN w:val="0"/>
        <w:adjustRightInd w:val="0"/>
        <w:spacing w:line="360" w:lineRule="auto"/>
        <w:ind w:firstLineChars="0"/>
        <w:jc w:val="left"/>
        <w:outlineLvl w:val="1"/>
        <w:rPr>
          <w:rFonts w:ascii="宋体" w:hAnsi="宋体" w:cs="宋体"/>
          <w:b/>
          <w:color w:val="auto"/>
          <w:szCs w:val="21"/>
          <w:highlight w:val="none"/>
        </w:rPr>
      </w:pPr>
      <w:r>
        <w:rPr>
          <w:rFonts w:hint="eastAsia" w:ascii="宋体" w:hAnsi="宋体" w:cs="宋体"/>
          <w:b/>
          <w:color w:val="auto"/>
          <w:szCs w:val="21"/>
          <w:highlight w:val="none"/>
        </w:rPr>
        <w:t>对安全文明管理不力的经济处罚</w:t>
      </w:r>
    </w:p>
    <w:p>
      <w:pPr>
        <w:tabs>
          <w:tab w:val="left" w:pos="900"/>
          <w:tab w:val="left" w:pos="1080"/>
        </w:tabs>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为了进一步规范和加强施工现场安全文明管理工作，</w:t>
      </w:r>
      <w:r>
        <w:rPr>
          <w:rFonts w:ascii="宋体" w:hAnsi="宋体" w:cs="宋体"/>
          <w:color w:val="auto"/>
          <w:szCs w:val="21"/>
          <w:highlight w:val="none"/>
        </w:rPr>
        <w:t>以“安全第一、预防为主”的方针</w:t>
      </w:r>
      <w:r>
        <w:rPr>
          <w:rFonts w:hint="eastAsia" w:ascii="宋体" w:hAnsi="宋体" w:cs="宋体"/>
          <w:color w:val="auto"/>
          <w:szCs w:val="21"/>
          <w:highlight w:val="none"/>
        </w:rPr>
        <w:t>，坚持安全生产以人的管理为核心，即消除人的不安全行为，严格控制违章作业行为，保证施工过程中一切安全。</w:t>
      </w:r>
      <w:r>
        <w:rPr>
          <w:rFonts w:ascii="宋体" w:hAnsi="宋体" w:cs="宋体"/>
          <w:color w:val="auto"/>
          <w:szCs w:val="21"/>
          <w:highlight w:val="none"/>
        </w:rPr>
        <w:t>坚持严格安全施工程序</w:t>
      </w:r>
      <w:r>
        <w:rPr>
          <w:rFonts w:hint="eastAsia" w:ascii="宋体" w:hAnsi="宋体" w:cs="宋体"/>
          <w:color w:val="auto"/>
          <w:szCs w:val="21"/>
          <w:highlight w:val="none"/>
        </w:rPr>
        <w:t>、</w:t>
      </w:r>
      <w:r>
        <w:rPr>
          <w:rFonts w:ascii="宋体" w:hAnsi="宋体" w:cs="宋体"/>
          <w:color w:val="auto"/>
          <w:szCs w:val="21"/>
          <w:highlight w:val="none"/>
        </w:rPr>
        <w:t>有关安全标准，确保人员，设备安全，杜绝伤亡事故的发</w:t>
      </w:r>
      <w:r>
        <w:rPr>
          <w:rFonts w:hint="eastAsia" w:ascii="宋体" w:hAnsi="宋体" w:cs="宋体"/>
          <w:color w:val="auto"/>
          <w:szCs w:val="21"/>
          <w:highlight w:val="none"/>
        </w:rPr>
        <w:t>生。根据《</w:t>
      </w:r>
      <w:r>
        <w:rPr>
          <w:rFonts w:ascii="宋体" w:hAnsi="宋体" w:cs="宋体"/>
          <w:color w:val="auto"/>
          <w:szCs w:val="21"/>
          <w:highlight w:val="none"/>
        </w:rPr>
        <w:t>建筑施工安全检查标准</w:t>
      </w:r>
      <w:r>
        <w:rPr>
          <w:rFonts w:hint="eastAsia" w:ascii="宋体" w:hAnsi="宋体" w:cs="宋体"/>
          <w:color w:val="auto"/>
          <w:szCs w:val="21"/>
          <w:highlight w:val="none"/>
        </w:rPr>
        <w:t>》（</w:t>
      </w:r>
      <w:r>
        <w:rPr>
          <w:rFonts w:ascii="宋体" w:hAnsi="宋体" w:cs="宋体"/>
          <w:color w:val="auto"/>
          <w:szCs w:val="21"/>
          <w:highlight w:val="none"/>
        </w:rPr>
        <w:t>JGJ59-2011）以及现行的广州市安全文明施工要求。特制订以下违反习惯安全文明行为的经济处罚规定，处罚的范围的不仅仅限于如下内容，发包人或监理方可根据违反安全文明施工行为的严重性参照执行如下处</w:t>
      </w:r>
      <w:r>
        <w:rPr>
          <w:rFonts w:hint="eastAsia" w:ascii="宋体" w:hAnsi="宋体" w:cs="宋体"/>
          <w:color w:val="auto"/>
          <w:szCs w:val="21"/>
          <w:highlight w:val="none"/>
        </w:rPr>
        <w:t>罚规定，经济处罚由发包人或监理方执行，从当月的工程进度款中扣除。</w:t>
      </w:r>
    </w:p>
    <w:p>
      <w:pPr>
        <w:pStyle w:val="2"/>
        <w:rPr>
          <w:color w:val="auto"/>
          <w:highlight w:val="none"/>
        </w:rPr>
      </w:pPr>
    </w:p>
    <w:tbl>
      <w:tblPr>
        <w:tblStyle w:val="62"/>
        <w:tblW w:w="9580" w:type="dxa"/>
        <w:jc w:val="center"/>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Layout w:type="fixed"/>
        <w:tblCellMar>
          <w:top w:w="0" w:type="dxa"/>
          <w:left w:w="108" w:type="dxa"/>
          <w:bottom w:w="0" w:type="dxa"/>
          <w:right w:w="108" w:type="dxa"/>
        </w:tblCellMar>
      </w:tblPr>
      <w:tblGrid>
        <w:gridCol w:w="720"/>
        <w:gridCol w:w="780"/>
        <w:gridCol w:w="4220"/>
        <w:gridCol w:w="2140"/>
        <w:gridCol w:w="1720"/>
      </w:tblGrid>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03" w:hRule="atLeast"/>
          <w:tblHeader/>
          <w:jc w:val="center"/>
        </w:trPr>
        <w:tc>
          <w:tcPr>
            <w:tcW w:w="1500" w:type="dxa"/>
            <w:gridSpan w:val="2"/>
            <w:tcBorders>
              <w:top w:val="single" w:color="auto" w:sz="8" w:space="0"/>
              <w:left w:val="single" w:color="auto" w:sz="8" w:space="0"/>
              <w:bottom w:val="single" w:color="000000" w:sz="8" w:space="0"/>
              <w:right w:val="single" w:color="000000"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项目</w:t>
            </w:r>
          </w:p>
        </w:tc>
        <w:tc>
          <w:tcPr>
            <w:tcW w:w="4220" w:type="dxa"/>
            <w:tcBorders>
              <w:top w:val="single" w:color="auto" w:sz="8" w:space="0"/>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处罚内容</w:t>
            </w:r>
          </w:p>
        </w:tc>
        <w:tc>
          <w:tcPr>
            <w:tcW w:w="2140" w:type="dxa"/>
            <w:tcBorders>
              <w:top w:val="single" w:color="auto" w:sz="8" w:space="0"/>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处罚措施</w:t>
            </w:r>
          </w:p>
        </w:tc>
        <w:tc>
          <w:tcPr>
            <w:tcW w:w="1720" w:type="dxa"/>
            <w:tcBorders>
              <w:top w:val="single" w:color="auto" w:sz="8" w:space="0"/>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备注</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restart"/>
            <w:tcBorders>
              <w:top w:val="nil"/>
              <w:left w:val="single" w:color="auto" w:sz="8" w:space="0"/>
              <w:bottom w:val="single" w:color="000000" w:sz="8" w:space="0"/>
              <w:right w:val="single" w:color="auto" w:sz="8" w:space="0"/>
            </w:tcBorders>
            <w:textDirection w:val="tbRlV"/>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文明施工</w:t>
            </w: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施工现场无标牌或不齐</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82"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施工场地排水系统不畅通</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施工区与作业分未分隔或无各自的出入口</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未做好工完场清或场地移交前未清理</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300元/处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施工现场作业留下积水没及时清理的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施工材料随意堆放，不服从管理的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7</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垂直运输不服从安排、人为阻挡人货梯</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8</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易燃、易爆物仓库无门存放或无警示牌的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9</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建筑材料、建筑垃圾堆放不整齐的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10</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无动火审批手续和动火监护措施的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酒后作业的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高处作业未将工具做防坠处理的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工地现场发生高空坠物的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每一处未按高处作业要求系安全带的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违约金2</w:t>
            </w:r>
            <w:r>
              <w:rPr>
                <w:rFonts w:ascii="宋体" w:hAnsi="宋体" w:cs="宋体"/>
                <w:color w:val="auto"/>
                <w:kern w:val="0"/>
                <w:sz w:val="18"/>
                <w:szCs w:val="18"/>
                <w:highlight w:val="none"/>
              </w:rPr>
              <w:t>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945"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楼梯口、电梯井口、预留洞口、管井口、坑井每一处无防护措施或防护不满足要求的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25"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17</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各部位临边无防护措施或防护措施不起安全防护作用的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18</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工地范围内私搭铺、私砌灶的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19</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工地范围内进行赌博性活动的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次，严重者交公安机关</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20</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现场偷电、偷水使用、用水不关</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21</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工作场所抽烟、乱丢烟头的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未经申请对结构任意打凿开洞。破坏结构者</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对施工现场成品造成破坏的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100～1000元，并须支付维修费用</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未经允许擅自挪用其它单位施工用具的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780"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作业人员进场未进行三级教育和相关工种的安全技术交底，接受承包人检查及审核、拒抗者</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对责任单位</w:t>
            </w: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w:t>
            </w:r>
            <w:r>
              <w:rPr>
                <w:rFonts w:hint="eastAsia"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特种作业人员无证上岗作业</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27</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进入施工现场未戴安全帽的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违约金20</w:t>
            </w:r>
            <w:r>
              <w:rPr>
                <w:rFonts w:ascii="宋体" w:hAnsi="宋体" w:cs="宋体"/>
                <w:color w:val="auto"/>
                <w:kern w:val="0"/>
                <w:sz w:val="18"/>
                <w:szCs w:val="18"/>
                <w:highlight w:val="none"/>
              </w:rPr>
              <w:t>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restart"/>
            <w:tcBorders>
              <w:top w:val="nil"/>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文</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明</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w:t>
            </w: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28</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进入施工现场未戴工作卡、平安卡的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违约金10</w:t>
            </w:r>
            <w:r>
              <w:rPr>
                <w:rFonts w:ascii="宋体" w:hAnsi="宋体" w:cs="宋体"/>
                <w:color w:val="auto"/>
                <w:kern w:val="0"/>
                <w:sz w:val="18"/>
                <w:szCs w:val="18"/>
                <w:highlight w:val="none"/>
              </w:rPr>
              <w:t>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29</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赤脚、穿拖鞋、踩鞋跟、穿高跟鞋进入施工现场的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违约金20</w:t>
            </w:r>
            <w:r>
              <w:rPr>
                <w:rFonts w:ascii="宋体" w:hAnsi="宋体" w:cs="宋体"/>
                <w:color w:val="auto"/>
                <w:kern w:val="0"/>
                <w:sz w:val="18"/>
                <w:szCs w:val="18"/>
                <w:highlight w:val="none"/>
              </w:rPr>
              <w:t>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30</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在施工现场随地大小便的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31</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在施工现场随地搅拌砂浆而不使用专用砂浆斗的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5000元/处</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在施工现场乱写乱画的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破坏旗安全警示牌的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破坏施工现场洞口、临边维护的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未经许可擅自挪用消防设施的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破坏消防器材的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82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37</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在项目部管理范围内滋事打架者</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相关双方各违约金</w:t>
            </w:r>
            <w:r>
              <w:rPr>
                <w:rFonts w:ascii="宋体" w:hAnsi="宋体" w:cs="宋体"/>
                <w:color w:val="auto"/>
                <w:kern w:val="0"/>
                <w:sz w:val="18"/>
                <w:szCs w:val="18"/>
                <w:highlight w:val="none"/>
              </w:rPr>
              <w:t>3000元，并交公安机关处理</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受伤者医疗费自理</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82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38</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在项目部管理范围内偷窃行为者</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3000元/人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次，并交公安机关处理</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39</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员工在宿舍内乱接乱拉电源线的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每一违约金</w:t>
            </w:r>
            <w:r>
              <w:rPr>
                <w:rFonts w:ascii="宋体" w:hAnsi="宋体" w:cs="宋体"/>
                <w:color w:val="auto"/>
                <w:kern w:val="0"/>
                <w:sz w:val="18"/>
                <w:szCs w:val="18"/>
                <w:highlight w:val="none"/>
              </w:rPr>
              <w:t>200元/人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82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40</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员工在宿舍内使用电热器具或液化气具煮食的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300元/人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次，并没收违章电器或液化气器具</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41</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生活垃圾未及时处理，未装容器，无专人管理的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在宿舍留宿小孩的或未成年人的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未经允许留宿陌生人员的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200元/人</w:t>
            </w:r>
            <w:r>
              <w:rPr>
                <w:rFonts w:hint="eastAsia" w:ascii="宋体" w:hAnsi="宋体" w:cs="宋体"/>
                <w:color w:val="auto"/>
                <w:kern w:val="0"/>
                <w:sz w:val="18"/>
                <w:szCs w:val="18"/>
                <w:highlight w:val="none"/>
              </w:rPr>
              <w:t>/</w:t>
            </w:r>
            <w:r>
              <w:rPr>
                <w:rFonts w:ascii="宋体" w:hAnsi="宋体" w:cs="宋体"/>
                <w:color w:val="auto"/>
                <w:kern w:val="0"/>
                <w:sz w:val="18"/>
                <w:szCs w:val="18"/>
                <w:highlight w:val="none"/>
              </w:rPr>
              <w:t>次</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施工道路不畅通</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出土外运导致市政路被泥土污染</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50000元/起</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承包人对所有分包单位需提供垃圾堆放场地，如出现乱堆放</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47</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承包人需成立消防队，人员不少于</w:t>
            </w:r>
            <w:r>
              <w:rPr>
                <w:rFonts w:ascii="宋体" w:hAnsi="宋体" w:cs="宋体"/>
                <w:color w:val="auto"/>
                <w:kern w:val="0"/>
                <w:sz w:val="18"/>
                <w:szCs w:val="18"/>
                <w:highlight w:val="none"/>
              </w:rPr>
              <w:t>20人，需成立环卫队，不少于5人，否则</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5000元</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615" w:hRule="atLeast"/>
          <w:jc w:val="center"/>
        </w:trPr>
        <w:tc>
          <w:tcPr>
            <w:tcW w:w="720" w:type="dxa"/>
            <w:vMerge w:val="restart"/>
            <w:tcBorders>
              <w:top w:val="nil"/>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机</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具</w:t>
            </w:r>
          </w:p>
        </w:tc>
        <w:tc>
          <w:tcPr>
            <w:tcW w:w="780" w:type="dxa"/>
            <w:tcBorders>
              <w:top w:val="nil"/>
              <w:left w:val="single" w:color="auto" w:sz="8" w:space="0"/>
              <w:bottom w:val="single" w:color="000000"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w:t>
            </w:r>
          </w:p>
        </w:tc>
        <w:tc>
          <w:tcPr>
            <w:tcW w:w="4220" w:type="dxa"/>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每一台（部）施工机具无漏电保护器的</w:t>
            </w:r>
          </w:p>
        </w:tc>
        <w:tc>
          <w:tcPr>
            <w:tcW w:w="2140" w:type="dxa"/>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single" w:color="auto" w:sz="8" w:space="0"/>
              <w:bottom w:val="single" w:color="000000"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8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电焊机电源无保护罩的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乙炔与氧气放置间小距小于</w:t>
            </w:r>
            <w:r>
              <w:rPr>
                <w:rFonts w:ascii="宋体" w:hAnsi="宋体" w:cs="宋体"/>
                <w:color w:val="auto"/>
                <w:kern w:val="0"/>
                <w:sz w:val="18"/>
                <w:szCs w:val="18"/>
                <w:highlight w:val="none"/>
              </w:rPr>
              <w:t>5米</w:t>
            </w:r>
            <w:r>
              <w:rPr>
                <w:rFonts w:hint="eastAsia" w:ascii="宋体" w:hAnsi="宋体" w:cs="宋体"/>
                <w:color w:val="auto"/>
                <w:kern w:val="0"/>
                <w:sz w:val="18"/>
                <w:szCs w:val="18"/>
                <w:highlight w:val="none"/>
              </w:rPr>
              <w:t>或距明火小于</w:t>
            </w:r>
            <w:r>
              <w:rPr>
                <w:rFonts w:ascii="宋体" w:hAnsi="宋体" w:cs="宋体"/>
                <w:color w:val="auto"/>
                <w:kern w:val="0"/>
                <w:sz w:val="18"/>
                <w:szCs w:val="18"/>
                <w:highlight w:val="none"/>
              </w:rPr>
              <w:t>10米</w:t>
            </w:r>
            <w:r>
              <w:rPr>
                <w:rFonts w:hint="eastAsia" w:ascii="宋体" w:hAnsi="宋体" w:cs="宋体"/>
                <w:color w:val="auto"/>
                <w:kern w:val="0"/>
                <w:sz w:val="18"/>
                <w:szCs w:val="18"/>
                <w:highlight w:val="none"/>
              </w:rPr>
              <w:t>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660"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传动部位无安全防护或防护不满足安全标准的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82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塔吊、人货两用电梯、井架等大型施工设备未经有检测资质单位检测合格便投入使用或超过安全使用期未复检仍继续使用</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1000元/起</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825" w:hRule="atLeast"/>
          <w:jc w:val="center"/>
        </w:trPr>
        <w:tc>
          <w:tcPr>
            <w:tcW w:w="720" w:type="dxa"/>
            <w:vMerge w:val="continue"/>
            <w:tcBorders>
              <w:left w:val="single" w:color="auto" w:sz="8" w:space="0"/>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平刨、圆盘锯、电动工具、钢筋机械、电焊机、搅拌机、潜水泵等小型施工设备进场未经自检并报审便投入使用</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300元/起</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300" w:hRule="atLeast"/>
          <w:jc w:val="center"/>
        </w:trPr>
        <w:tc>
          <w:tcPr>
            <w:tcW w:w="720" w:type="dxa"/>
            <w:vMerge w:val="restart"/>
            <w:tcBorders>
              <w:top w:val="nil"/>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施</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工</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用</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电</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p>
            <w:pPr>
              <w:widowControl/>
              <w:spacing w:line="360" w:lineRule="auto"/>
              <w:jc w:val="center"/>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临时用电无方案或变更后无补充方案</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1000元/起</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2</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配电线路使用不合格材料，电缆架设或埋设不符合安全要求的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3</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外电防护小于安全距离又无防护措施或防护措施不符合要求</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300"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4</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用电不符合“三级配电两级保护”要求</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555"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5</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闸具、熔断器参数与设备容量不匹配或用其他金属丝代替熔丝</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300元/处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6</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无接地与接零保护系统</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7</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电线老化、破皮未包扎的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100元/处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8</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电箱无门、无锁、无防雨措施的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9</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电线拖地、驳接口未用绝缘材料包裹的</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50元/处</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r>
        <w:tblPrEx>
          <w:tblBorders>
            <w:top w:val="single" w:color="auto" w:sz="40" w:space="0"/>
            <w:left w:val="single" w:color="auto" w:sz="40" w:space="0"/>
            <w:bottom w:val="single" w:color="auto" w:sz="40" w:space="0"/>
            <w:right w:val="single" w:color="auto" w:sz="40" w:space="0"/>
            <w:insideH w:val="single" w:color="auto" w:sz="40" w:space="0"/>
            <w:insideV w:val="single" w:color="auto" w:sz="40" w:space="0"/>
          </w:tblBorders>
          <w:tblCellMar>
            <w:top w:w="0" w:type="dxa"/>
            <w:left w:w="108" w:type="dxa"/>
            <w:bottom w:w="0" w:type="dxa"/>
            <w:right w:w="108" w:type="dxa"/>
          </w:tblCellMar>
        </w:tblPrEx>
        <w:trPr>
          <w:trHeight w:val="499" w:hRule="atLeast"/>
          <w:jc w:val="center"/>
        </w:trPr>
        <w:tc>
          <w:tcPr>
            <w:tcW w:w="720" w:type="dxa"/>
            <w:vMerge w:val="continue"/>
            <w:tcBorders>
              <w:left w:val="single" w:color="auto" w:sz="8" w:space="0"/>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p>
        </w:tc>
        <w:tc>
          <w:tcPr>
            <w:tcW w:w="780" w:type="dxa"/>
            <w:tcBorders>
              <w:top w:val="nil"/>
              <w:left w:val="nil"/>
              <w:bottom w:val="single" w:color="auto" w:sz="8" w:space="0"/>
              <w:right w:val="single" w:color="auto" w:sz="8" w:space="0"/>
            </w:tcBorders>
            <w:vAlign w:val="center"/>
          </w:tcPr>
          <w:p>
            <w:pPr>
              <w:widowControl/>
              <w:spacing w:line="360" w:lineRule="auto"/>
              <w:jc w:val="center"/>
              <w:rPr>
                <w:rFonts w:ascii="宋体" w:hAnsi="宋体" w:cs="宋体"/>
                <w:color w:val="auto"/>
                <w:kern w:val="0"/>
                <w:sz w:val="18"/>
                <w:szCs w:val="18"/>
                <w:highlight w:val="none"/>
              </w:rPr>
            </w:pPr>
            <w:r>
              <w:rPr>
                <w:rFonts w:ascii="宋体" w:hAnsi="宋体" w:cs="宋体"/>
                <w:color w:val="auto"/>
                <w:kern w:val="0"/>
                <w:sz w:val="18"/>
                <w:szCs w:val="18"/>
                <w:highlight w:val="none"/>
              </w:rPr>
              <w:t>10</w:t>
            </w:r>
          </w:p>
        </w:tc>
        <w:tc>
          <w:tcPr>
            <w:tcW w:w="42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按规定该用安全电压的而没使用</w:t>
            </w:r>
          </w:p>
        </w:tc>
        <w:tc>
          <w:tcPr>
            <w:tcW w:w="214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违约金</w:t>
            </w:r>
            <w:r>
              <w:rPr>
                <w:rFonts w:ascii="宋体" w:hAnsi="宋体" w:cs="宋体"/>
                <w:color w:val="auto"/>
                <w:kern w:val="0"/>
                <w:sz w:val="18"/>
                <w:szCs w:val="18"/>
                <w:highlight w:val="none"/>
              </w:rPr>
              <w:t>300元/起</w:t>
            </w:r>
          </w:p>
        </w:tc>
        <w:tc>
          <w:tcPr>
            <w:tcW w:w="1720" w:type="dxa"/>
            <w:tcBorders>
              <w:top w:val="nil"/>
              <w:left w:val="nil"/>
              <w:bottom w:val="single" w:color="auto" w:sz="8" w:space="0"/>
              <w:right w:val="single" w:color="auto" w:sz="8" w:space="0"/>
            </w:tcBorders>
            <w:vAlign w:val="center"/>
          </w:tcPr>
          <w:p>
            <w:pPr>
              <w:widowControl/>
              <w:spacing w:line="360" w:lineRule="auto"/>
              <w:jc w:val="left"/>
              <w:rPr>
                <w:rFonts w:ascii="宋体" w:hAnsi="宋体" w:cs="宋体"/>
                <w:color w:val="auto"/>
                <w:kern w:val="0"/>
                <w:sz w:val="18"/>
                <w:szCs w:val="18"/>
                <w:highlight w:val="none"/>
              </w:rPr>
            </w:pPr>
            <w:r>
              <w:rPr>
                <w:rFonts w:hint="eastAsia" w:ascii="宋体" w:hAnsi="宋体" w:cs="宋体"/>
                <w:color w:val="auto"/>
                <w:kern w:val="0"/>
                <w:sz w:val="18"/>
                <w:szCs w:val="18"/>
                <w:highlight w:val="none"/>
              </w:rPr>
              <w:t>　</w:t>
            </w:r>
          </w:p>
        </w:tc>
      </w:tr>
    </w:tbl>
    <w:p>
      <w:pPr>
        <w:spacing w:line="360" w:lineRule="auto"/>
        <w:ind w:firstLine="422" w:firstLineChars="200"/>
        <w:rPr>
          <w:rFonts w:ascii="宋体" w:hAnsi="宋体" w:cs="FangSong,Bold"/>
          <w:b/>
          <w:bCs/>
          <w:color w:val="auto"/>
          <w:kern w:val="0"/>
          <w:szCs w:val="21"/>
          <w:highlight w:val="none"/>
          <w:u w:val="single"/>
        </w:rPr>
      </w:pP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工程质量保证要求</w:t>
      </w:r>
    </w:p>
    <w:p>
      <w:pPr>
        <w:spacing w:line="360" w:lineRule="auto"/>
        <w:ind w:firstLine="420" w:firstLineChars="200"/>
        <w:rPr>
          <w:bCs/>
          <w:color w:val="auto"/>
          <w:highlight w:val="none"/>
          <w:u w:val="single"/>
        </w:rPr>
      </w:pPr>
      <w:r>
        <w:rPr>
          <w:rFonts w:hint="eastAsia"/>
          <w:bCs/>
          <w:color w:val="auto"/>
          <w:highlight w:val="none"/>
          <w:u w:val="single"/>
        </w:rPr>
        <w:t>承包人项目管理人员必须组建工程“质量管控红线”标准化管理小组，按越秀地产编制的工程“质量管控红线”</w:t>
      </w:r>
      <w:r>
        <w:rPr>
          <w:bCs/>
          <w:color w:val="auto"/>
          <w:highlight w:val="none"/>
          <w:u w:val="single"/>
        </w:rPr>
        <w:t>风险</w:t>
      </w:r>
      <w:r>
        <w:rPr>
          <w:rFonts w:hint="eastAsia"/>
          <w:bCs/>
          <w:color w:val="auto"/>
          <w:highlight w:val="none"/>
          <w:u w:val="single"/>
        </w:rPr>
        <w:t>防范和控制要求，认真</w:t>
      </w:r>
      <w:r>
        <w:rPr>
          <w:bCs/>
          <w:color w:val="auto"/>
          <w:highlight w:val="none"/>
          <w:u w:val="single"/>
        </w:rPr>
        <w:t>落实</w:t>
      </w:r>
      <w:r>
        <w:rPr>
          <w:rFonts w:hint="eastAsia"/>
          <w:bCs/>
          <w:color w:val="auto"/>
          <w:highlight w:val="none"/>
          <w:u w:val="single"/>
        </w:rPr>
        <w:t>执行</w:t>
      </w:r>
      <w:r>
        <w:rPr>
          <w:bCs/>
          <w:color w:val="auto"/>
          <w:highlight w:val="none"/>
          <w:u w:val="single"/>
        </w:rPr>
        <w:t>工程</w:t>
      </w:r>
      <w:r>
        <w:rPr>
          <w:rFonts w:hint="eastAsia"/>
          <w:bCs/>
          <w:color w:val="auto"/>
          <w:highlight w:val="none"/>
          <w:u w:val="single"/>
        </w:rPr>
        <w:t>“质量管控红线”的</w:t>
      </w:r>
      <w:r>
        <w:rPr>
          <w:bCs/>
          <w:color w:val="auto"/>
          <w:highlight w:val="none"/>
          <w:u w:val="single"/>
        </w:rPr>
        <w:t>管理规定，</w:t>
      </w:r>
      <w:r>
        <w:rPr>
          <w:rFonts w:hint="eastAsia"/>
          <w:bCs/>
          <w:color w:val="auto"/>
          <w:highlight w:val="none"/>
          <w:u w:val="single"/>
        </w:rPr>
        <w:t>及时识别项目</w:t>
      </w:r>
      <w:r>
        <w:rPr>
          <w:bCs/>
          <w:color w:val="auto"/>
          <w:highlight w:val="none"/>
          <w:u w:val="single"/>
        </w:rPr>
        <w:t>工程红线</w:t>
      </w:r>
      <w:r>
        <w:rPr>
          <w:rFonts w:hint="eastAsia"/>
          <w:bCs/>
          <w:color w:val="auto"/>
          <w:highlight w:val="none"/>
          <w:u w:val="single"/>
        </w:rPr>
        <w:t>隐患，采取相应管控措施预</w:t>
      </w:r>
      <w:r>
        <w:rPr>
          <w:bCs/>
          <w:color w:val="auto"/>
          <w:highlight w:val="none"/>
          <w:u w:val="single"/>
        </w:rPr>
        <w:t>防</w:t>
      </w:r>
      <w:r>
        <w:rPr>
          <w:rFonts w:hint="eastAsia"/>
          <w:bCs/>
          <w:color w:val="auto"/>
          <w:highlight w:val="none"/>
          <w:u w:val="single"/>
        </w:rPr>
        <w:t>和</w:t>
      </w:r>
      <w:r>
        <w:rPr>
          <w:bCs/>
          <w:color w:val="auto"/>
          <w:highlight w:val="none"/>
          <w:u w:val="single"/>
        </w:rPr>
        <w:t>规避</w:t>
      </w:r>
      <w:r>
        <w:rPr>
          <w:rFonts w:hint="eastAsia"/>
          <w:bCs/>
          <w:color w:val="auto"/>
          <w:highlight w:val="none"/>
          <w:u w:val="single"/>
        </w:rPr>
        <w:t>。</w:t>
      </w:r>
    </w:p>
    <w:tbl>
      <w:tblPr>
        <w:tblStyle w:val="63"/>
        <w:tblW w:w="83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75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hint="eastAsia" w:ascii="宋体" w:hAnsi="宋体" w:cs="仿宋_GB2312"/>
                <w:color w:val="auto"/>
                <w:highlight w:val="none"/>
                <w:u w:val="single"/>
              </w:rPr>
              <w:t>序号</w:t>
            </w:r>
          </w:p>
        </w:tc>
        <w:tc>
          <w:tcPr>
            <w:tcW w:w="7517" w:type="dxa"/>
          </w:tcPr>
          <w:p>
            <w:pPr>
              <w:spacing w:line="360" w:lineRule="auto"/>
              <w:jc w:val="center"/>
              <w:rPr>
                <w:rFonts w:ascii="宋体" w:hAnsi="宋体" w:cs="仿宋_GB2312"/>
                <w:color w:val="auto"/>
                <w:highlight w:val="none"/>
                <w:u w:val="single"/>
              </w:rPr>
            </w:pPr>
            <w:r>
              <w:rPr>
                <w:rFonts w:hint="eastAsia" w:ascii="宋体" w:hAnsi="宋体" w:cs="仿宋_GB2312"/>
                <w:color w:val="auto"/>
                <w:highlight w:val="none"/>
                <w:u w:val="single"/>
              </w:rPr>
              <w:t>质量</w:t>
            </w:r>
            <w:r>
              <w:rPr>
                <w:rFonts w:ascii="宋体" w:hAnsi="宋体" w:cs="仿宋_GB2312"/>
                <w:color w:val="auto"/>
                <w:highlight w:val="none"/>
                <w:u w:val="single"/>
              </w:rPr>
              <w:t>红线</w:t>
            </w:r>
            <w:r>
              <w:rPr>
                <w:rFonts w:hint="eastAsia" w:ascii="宋体" w:hAnsi="宋体" w:cs="仿宋_GB2312"/>
                <w:color w:val="auto"/>
                <w:highlight w:val="none"/>
                <w:u w:val="single"/>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1</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主</w:t>
            </w:r>
            <w:r>
              <w:rPr>
                <w:rFonts w:ascii="宋体" w:hAnsi="宋体" w:cs="仿宋_GB2312"/>
                <w:b/>
                <w:color w:val="auto"/>
                <w:highlight w:val="none"/>
                <w:u w:val="single"/>
              </w:rPr>
              <w:t>体结构出现楼板通</w:t>
            </w:r>
            <w:r>
              <w:rPr>
                <w:rFonts w:hint="eastAsia" w:ascii="宋体" w:hAnsi="宋体" w:cs="仿宋_GB2312"/>
                <w:b/>
                <w:color w:val="auto"/>
                <w:highlight w:val="none"/>
                <w:u w:val="single"/>
              </w:rPr>
              <w:t>裂</w:t>
            </w:r>
            <w:r>
              <w:rPr>
                <w:rFonts w:ascii="宋体" w:hAnsi="宋体" w:cs="仿宋_GB2312"/>
                <w:b/>
                <w:color w:val="auto"/>
                <w:highlight w:val="none"/>
                <w:u w:val="single"/>
              </w:rPr>
              <w:t>、大面积露筋锈蚀、结构性破坏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8"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1</w:t>
            </w:r>
            <w:r>
              <w:rPr>
                <w:rFonts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楼</w:t>
            </w:r>
            <w:r>
              <w:rPr>
                <w:rFonts w:ascii="宋体" w:hAnsi="宋体" w:cs="仿宋_GB2312"/>
                <w:color w:val="auto"/>
                <w:highlight w:val="none"/>
                <w:u w:val="single"/>
              </w:rPr>
              <w:t>板通裂</w:t>
            </w:r>
            <w:r>
              <w:rPr>
                <w:rFonts w:hint="eastAsia" w:ascii="宋体" w:hAnsi="宋体" w:cs="仿宋_GB2312"/>
                <w:color w:val="auto"/>
                <w:highlight w:val="none"/>
                <w:u w:val="single"/>
              </w:rPr>
              <w:t>、</w:t>
            </w:r>
            <w:r>
              <w:rPr>
                <w:rFonts w:ascii="宋体" w:hAnsi="宋体" w:cs="仿宋_GB2312"/>
                <w:color w:val="auto"/>
                <w:highlight w:val="none"/>
                <w:u w:val="single"/>
              </w:rPr>
              <w:t>结构性</w:t>
            </w:r>
            <w:r>
              <w:rPr>
                <w:rFonts w:hint="eastAsia" w:ascii="宋体" w:hAnsi="宋体" w:cs="仿宋_GB2312"/>
                <w:color w:val="auto"/>
                <w:highlight w:val="none"/>
                <w:u w:val="single"/>
              </w:rPr>
              <w:t>破</w:t>
            </w:r>
            <w:r>
              <w:rPr>
                <w:rFonts w:ascii="宋体" w:hAnsi="宋体" w:cs="仿宋_GB2312"/>
                <w:color w:val="auto"/>
                <w:highlight w:val="none"/>
                <w:u w:val="single"/>
              </w:rPr>
              <w:t>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1.1.1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未</w:t>
            </w:r>
            <w:r>
              <w:rPr>
                <w:rFonts w:ascii="宋体" w:hAnsi="宋体" w:cs="仿宋_GB2312"/>
                <w:color w:val="auto"/>
                <w:highlight w:val="none"/>
                <w:u w:val="single"/>
              </w:rPr>
              <w:t>按</w:t>
            </w:r>
            <w:r>
              <w:rPr>
                <w:rFonts w:hint="eastAsia" w:ascii="宋体" w:hAnsi="宋体" w:cs="仿宋_GB2312"/>
                <w:color w:val="auto"/>
                <w:highlight w:val="none"/>
                <w:u w:val="single"/>
              </w:rPr>
              <w:t>设计</w:t>
            </w:r>
            <w:r>
              <w:rPr>
                <w:rFonts w:ascii="宋体" w:hAnsi="宋体" w:cs="仿宋_GB2312"/>
                <w:color w:val="auto"/>
                <w:highlight w:val="none"/>
                <w:u w:val="single"/>
              </w:rPr>
              <w:t>要求设置放射筋或抗裂措施</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1.1.2</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楼</w:t>
            </w:r>
            <w:r>
              <w:rPr>
                <w:rFonts w:ascii="宋体" w:hAnsi="宋体" w:cs="仿宋_GB2312"/>
                <w:color w:val="auto"/>
                <w:highlight w:val="none"/>
                <w:u w:val="single"/>
              </w:rPr>
              <w:t>板</w:t>
            </w:r>
            <w:r>
              <w:rPr>
                <w:rFonts w:hint="eastAsia" w:ascii="宋体" w:hAnsi="宋体" w:cs="仿宋_GB2312"/>
                <w:color w:val="auto"/>
                <w:highlight w:val="none"/>
                <w:u w:val="single"/>
              </w:rPr>
              <w:t>强度</w:t>
            </w:r>
            <w:r>
              <w:rPr>
                <w:rFonts w:ascii="宋体" w:hAnsi="宋体" w:cs="仿宋_GB2312"/>
                <w:color w:val="auto"/>
                <w:highlight w:val="none"/>
                <w:u w:val="single"/>
              </w:rPr>
              <w:t>未达到</w:t>
            </w:r>
            <w:r>
              <w:rPr>
                <w:rFonts w:hint="eastAsia" w:ascii="宋体" w:hAnsi="宋体" w:cs="仿宋_GB2312"/>
                <w:color w:val="auto"/>
                <w:highlight w:val="none"/>
                <w:u w:val="single"/>
              </w:rPr>
              <w:t>设计或</w:t>
            </w:r>
            <w:r>
              <w:rPr>
                <w:rFonts w:ascii="宋体" w:hAnsi="宋体" w:cs="仿宋_GB2312"/>
                <w:color w:val="auto"/>
                <w:highlight w:val="none"/>
                <w:u w:val="single"/>
              </w:rPr>
              <w:t>规范要求</w:t>
            </w:r>
            <w:r>
              <w:rPr>
                <w:rFonts w:hint="eastAsia" w:ascii="宋体" w:hAnsi="宋体" w:cs="仿宋_GB2312"/>
                <w:color w:val="auto"/>
                <w:highlight w:val="none"/>
                <w:u w:val="single"/>
              </w:rPr>
              <w:t>提</w:t>
            </w:r>
            <w:r>
              <w:rPr>
                <w:rFonts w:ascii="宋体" w:hAnsi="宋体" w:cs="仿宋_GB2312"/>
                <w:color w:val="auto"/>
                <w:highlight w:val="none"/>
                <w:u w:val="single"/>
              </w:rPr>
              <w:t>早拆模</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1.1.3</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混凝土结构</w:t>
            </w:r>
            <w:r>
              <w:rPr>
                <w:rFonts w:ascii="宋体" w:hAnsi="宋体" w:cs="仿宋_GB2312"/>
                <w:color w:val="auto"/>
                <w:highlight w:val="none"/>
                <w:u w:val="single"/>
              </w:rPr>
              <w:t>楼板</w:t>
            </w:r>
            <w:r>
              <w:rPr>
                <w:rFonts w:hint="eastAsia" w:ascii="宋体" w:hAnsi="宋体" w:cs="仿宋_GB2312"/>
                <w:color w:val="auto"/>
                <w:highlight w:val="none"/>
                <w:u w:val="single"/>
              </w:rPr>
              <w:t>超负</w:t>
            </w:r>
            <w:r>
              <w:rPr>
                <w:rFonts w:ascii="宋体" w:hAnsi="宋体" w:cs="仿宋_GB2312"/>
                <w:color w:val="auto"/>
                <w:highlight w:val="none"/>
                <w:u w:val="single"/>
              </w:rPr>
              <w:t>荷堆载</w:t>
            </w:r>
            <w:r>
              <w:rPr>
                <w:rFonts w:hint="eastAsia" w:ascii="宋体" w:hAnsi="宋体" w:cs="仿宋_GB2312"/>
                <w:color w:val="auto"/>
                <w:highlight w:val="none"/>
                <w:u w:val="single"/>
              </w:rPr>
              <w:t>，无堆载计算方案或不按方案实施。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1.1.4</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梁、</w:t>
            </w:r>
            <w:r>
              <w:rPr>
                <w:rFonts w:ascii="宋体" w:hAnsi="宋体" w:cs="仿宋_GB2312"/>
                <w:color w:val="auto"/>
                <w:highlight w:val="none"/>
                <w:u w:val="single"/>
              </w:rPr>
              <w:t>柱、墙</w:t>
            </w:r>
            <w:r>
              <w:rPr>
                <w:rFonts w:hint="eastAsia" w:ascii="宋体" w:hAnsi="宋体" w:cs="仿宋_GB2312"/>
                <w:color w:val="auto"/>
                <w:highlight w:val="none"/>
                <w:u w:val="single"/>
              </w:rPr>
              <w:t>、</w:t>
            </w:r>
            <w:r>
              <w:rPr>
                <w:rFonts w:ascii="宋体" w:hAnsi="宋体" w:cs="仿宋_GB2312"/>
                <w:color w:val="auto"/>
                <w:highlight w:val="none"/>
                <w:u w:val="single"/>
              </w:rPr>
              <w:t>板受力钢筋</w:t>
            </w:r>
            <w:r>
              <w:rPr>
                <w:rFonts w:hint="eastAsia" w:ascii="宋体" w:hAnsi="宋体" w:cs="仿宋_GB2312"/>
                <w:color w:val="auto"/>
                <w:highlight w:val="none"/>
                <w:u w:val="single"/>
              </w:rPr>
              <w:t>未</w:t>
            </w:r>
            <w:r>
              <w:rPr>
                <w:rFonts w:ascii="宋体" w:hAnsi="宋体" w:cs="仿宋_GB2312"/>
                <w:color w:val="auto"/>
                <w:highlight w:val="none"/>
                <w:u w:val="single"/>
              </w:rPr>
              <w:t>按设计</w:t>
            </w:r>
            <w:r>
              <w:rPr>
                <w:rFonts w:hint="eastAsia" w:ascii="宋体" w:hAnsi="宋体" w:cs="仿宋_GB2312"/>
                <w:color w:val="auto"/>
                <w:highlight w:val="none"/>
                <w:u w:val="single"/>
              </w:rPr>
              <w:t>数量</w:t>
            </w:r>
            <w:r>
              <w:rPr>
                <w:rFonts w:ascii="宋体" w:hAnsi="宋体" w:cs="仿宋_GB2312"/>
                <w:color w:val="auto"/>
                <w:highlight w:val="none"/>
                <w:u w:val="single"/>
              </w:rPr>
              <w:t>进行布置</w:t>
            </w:r>
            <w:r>
              <w:rPr>
                <w:rFonts w:hint="eastAsia" w:ascii="宋体" w:hAnsi="宋体" w:cs="仿宋_GB2312"/>
                <w:color w:val="auto"/>
                <w:highlight w:val="none"/>
                <w:u w:val="single"/>
              </w:rPr>
              <w:t>，</w:t>
            </w:r>
            <w:r>
              <w:rPr>
                <w:rFonts w:ascii="宋体" w:hAnsi="宋体" w:cs="仿宋_GB2312"/>
                <w:color w:val="auto"/>
                <w:highlight w:val="none"/>
                <w:u w:val="single"/>
              </w:rPr>
              <w:t>主筋严</w:t>
            </w:r>
            <w:r>
              <w:rPr>
                <w:rFonts w:hint="eastAsia" w:ascii="宋体" w:hAnsi="宋体" w:cs="仿宋_GB2312"/>
                <w:color w:val="auto"/>
                <w:highlight w:val="none"/>
                <w:u w:val="single"/>
              </w:rPr>
              <w:t>重</w:t>
            </w:r>
            <w:r>
              <w:rPr>
                <w:rFonts w:ascii="宋体" w:hAnsi="宋体" w:cs="仿宋_GB2312"/>
                <w:color w:val="auto"/>
                <w:highlight w:val="none"/>
                <w:u w:val="single"/>
              </w:rPr>
              <w:t>位移</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1</w:t>
            </w:r>
            <w:r>
              <w:rPr>
                <w:rFonts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大</w:t>
            </w:r>
            <w:r>
              <w:rPr>
                <w:rFonts w:ascii="宋体" w:hAnsi="宋体" w:cs="仿宋_GB2312"/>
                <w:color w:val="auto"/>
                <w:highlight w:val="none"/>
                <w:u w:val="single"/>
              </w:rPr>
              <w:t>面积露筋</w:t>
            </w:r>
            <w:r>
              <w:rPr>
                <w:rFonts w:hint="eastAsia" w:ascii="宋体" w:hAnsi="宋体" w:cs="仿宋_GB2312"/>
                <w:color w:val="auto"/>
                <w:highlight w:val="none"/>
                <w:u w:val="single"/>
              </w:rPr>
              <w:t>锈</w:t>
            </w:r>
            <w:r>
              <w:rPr>
                <w:rFonts w:ascii="宋体" w:hAnsi="宋体" w:cs="仿宋_GB2312"/>
                <w:color w:val="auto"/>
                <w:highlight w:val="none"/>
                <w:u w:val="single"/>
              </w:rPr>
              <w:t>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2</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钢筋材料</w:t>
            </w:r>
            <w:r>
              <w:rPr>
                <w:rFonts w:ascii="宋体" w:hAnsi="宋体" w:cs="仿宋_GB2312"/>
                <w:b/>
                <w:color w:val="auto"/>
                <w:highlight w:val="none"/>
                <w:u w:val="single"/>
              </w:rPr>
              <w:t>进场未按要求送检或检测</w:t>
            </w:r>
            <w:r>
              <w:rPr>
                <w:rFonts w:hint="eastAsia" w:ascii="宋体" w:hAnsi="宋体" w:cs="仿宋_GB2312"/>
                <w:b/>
                <w:color w:val="auto"/>
                <w:highlight w:val="none"/>
                <w:u w:val="single"/>
              </w:rPr>
              <w:t>不</w:t>
            </w:r>
            <w:r>
              <w:rPr>
                <w:rFonts w:ascii="宋体" w:hAnsi="宋体" w:cs="仿宋_GB2312"/>
                <w:b/>
                <w:color w:val="auto"/>
                <w:highlight w:val="none"/>
                <w:u w:val="single"/>
              </w:rPr>
              <w:t>符合要求已用于现场施工；钢筋</w:t>
            </w:r>
            <w:r>
              <w:rPr>
                <w:rFonts w:hint="eastAsia" w:ascii="宋体" w:hAnsi="宋体" w:cs="仿宋_GB2312"/>
                <w:b/>
                <w:color w:val="auto"/>
                <w:highlight w:val="none"/>
                <w:u w:val="single"/>
              </w:rPr>
              <w:t>连接</w:t>
            </w:r>
            <w:r>
              <w:rPr>
                <w:rFonts w:ascii="宋体" w:hAnsi="宋体" w:cs="仿宋_GB2312"/>
                <w:b/>
                <w:color w:val="auto"/>
                <w:highlight w:val="none"/>
                <w:u w:val="single"/>
              </w:rPr>
              <w:t>（</w:t>
            </w:r>
            <w:r>
              <w:rPr>
                <w:rFonts w:hint="eastAsia" w:ascii="宋体" w:hAnsi="宋体" w:cs="仿宋_GB2312"/>
                <w:b/>
                <w:color w:val="auto"/>
                <w:highlight w:val="none"/>
                <w:u w:val="single"/>
              </w:rPr>
              <w:t>搭</w:t>
            </w:r>
            <w:r>
              <w:rPr>
                <w:rFonts w:ascii="宋体" w:hAnsi="宋体" w:cs="仿宋_GB2312"/>
                <w:b/>
                <w:color w:val="auto"/>
                <w:highlight w:val="none"/>
                <w:u w:val="single"/>
              </w:rPr>
              <w:t>接、直螺纹连接、焊接）</w:t>
            </w:r>
            <w:r>
              <w:rPr>
                <w:rFonts w:hint="eastAsia" w:ascii="宋体" w:hAnsi="宋体" w:cs="仿宋_GB2312"/>
                <w:b/>
                <w:color w:val="auto"/>
                <w:highlight w:val="none"/>
                <w:u w:val="single"/>
              </w:rPr>
              <w:t>质量不</w:t>
            </w:r>
            <w:r>
              <w:rPr>
                <w:rFonts w:ascii="宋体" w:hAnsi="宋体" w:cs="仿宋_GB2312"/>
                <w:b/>
                <w:color w:val="auto"/>
                <w:highlight w:val="none"/>
                <w:u w:val="single"/>
              </w:rPr>
              <w:t>符合要求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钢筋材料使用审查（含</w:t>
            </w:r>
            <w:r>
              <w:rPr>
                <w:rFonts w:ascii="宋体" w:hAnsi="宋体" w:cs="仿宋_GB2312"/>
                <w:color w:val="auto"/>
                <w:highlight w:val="none"/>
                <w:u w:val="single"/>
              </w:rPr>
              <w:t>钢</w:t>
            </w:r>
            <w:r>
              <w:rPr>
                <w:rFonts w:hint="eastAsia" w:ascii="宋体" w:hAnsi="宋体" w:cs="仿宋_GB2312"/>
                <w:color w:val="auto"/>
                <w:highlight w:val="none"/>
                <w:u w:val="single"/>
              </w:rPr>
              <w:t>筋</w:t>
            </w:r>
            <w:r>
              <w:rPr>
                <w:rFonts w:ascii="宋体" w:hAnsi="宋体" w:cs="仿宋_GB2312"/>
                <w:color w:val="auto"/>
                <w:highlight w:val="none"/>
                <w:u w:val="single"/>
              </w:rPr>
              <w:t>原材、焊</w:t>
            </w:r>
            <w:r>
              <w:rPr>
                <w:rFonts w:hint="eastAsia" w:ascii="宋体" w:hAnsi="宋体" w:cs="仿宋_GB2312"/>
                <w:color w:val="auto"/>
                <w:highlight w:val="none"/>
                <w:u w:val="single"/>
              </w:rPr>
              <w:t>条</w:t>
            </w:r>
            <w:r>
              <w:rPr>
                <w:rFonts w:ascii="宋体" w:hAnsi="宋体" w:cs="仿宋_GB2312"/>
                <w:color w:val="auto"/>
                <w:highlight w:val="none"/>
                <w:u w:val="single"/>
              </w:rPr>
              <w:t>和连接套</w:t>
            </w:r>
            <w:r>
              <w:rPr>
                <w:rFonts w:hint="eastAsia" w:ascii="宋体" w:hAnsi="宋体" w:cs="仿宋_GB2312"/>
                <w:color w:val="auto"/>
                <w:highlight w:val="none"/>
                <w:u w:val="single"/>
              </w:rPr>
              <w:t>筒</w:t>
            </w:r>
            <w:r>
              <w:rPr>
                <w:rFonts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.1.</w:t>
            </w:r>
            <w:r>
              <w:rPr>
                <w:rFonts w:hint="eastAsia"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报</w:t>
            </w:r>
            <w:r>
              <w:rPr>
                <w:rFonts w:ascii="宋体" w:hAnsi="宋体" w:cs="仿宋_GB2312"/>
                <w:color w:val="auto"/>
                <w:highlight w:val="none"/>
                <w:u w:val="single"/>
              </w:rPr>
              <w:t>验</w:t>
            </w:r>
            <w:r>
              <w:rPr>
                <w:rFonts w:hint="eastAsia" w:ascii="宋体" w:hAnsi="宋体" w:cs="仿宋_GB2312"/>
                <w:color w:val="auto"/>
                <w:highlight w:val="none"/>
                <w:u w:val="single"/>
              </w:rPr>
              <w:t>资料</w:t>
            </w:r>
            <w:r>
              <w:rPr>
                <w:rFonts w:ascii="宋体" w:hAnsi="宋体" w:cs="仿宋_GB2312"/>
                <w:color w:val="auto"/>
                <w:highlight w:val="none"/>
                <w:u w:val="single"/>
              </w:rPr>
              <w:t>不合格</w:t>
            </w:r>
            <w:r>
              <w:rPr>
                <w:rFonts w:hint="eastAsia" w:ascii="宋体" w:hAnsi="宋体" w:cs="仿宋_GB2312"/>
                <w:color w:val="auto"/>
                <w:highlight w:val="none"/>
                <w:u w:val="single"/>
              </w:rPr>
              <w:t>钢筋</w:t>
            </w:r>
            <w:r>
              <w:rPr>
                <w:rFonts w:ascii="宋体" w:hAnsi="宋体" w:cs="仿宋_GB2312"/>
                <w:color w:val="auto"/>
                <w:highlight w:val="none"/>
                <w:u w:val="single"/>
              </w:rPr>
              <w:t>材料进场</w:t>
            </w:r>
            <w:r>
              <w:rPr>
                <w:rFonts w:hint="eastAsia" w:ascii="宋体" w:hAnsi="宋体" w:cs="仿宋_GB2312"/>
                <w:color w:val="auto"/>
                <w:highlight w:val="none"/>
                <w:u w:val="single"/>
              </w:rPr>
              <w:t>后使用于</w:t>
            </w:r>
            <w:r>
              <w:rPr>
                <w:rFonts w:ascii="宋体" w:hAnsi="宋体" w:cs="仿宋_GB2312"/>
                <w:color w:val="auto"/>
                <w:highlight w:val="none"/>
                <w:u w:val="single"/>
              </w:rPr>
              <w:t>现场</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.1.</w:t>
            </w:r>
            <w:r>
              <w:rPr>
                <w:rFonts w:hint="eastAsia"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钢筋及相关原材料</w:t>
            </w:r>
            <w:r>
              <w:rPr>
                <w:rFonts w:ascii="宋体" w:hAnsi="宋体" w:cs="仿宋_GB2312"/>
                <w:color w:val="auto"/>
                <w:highlight w:val="none"/>
                <w:u w:val="single"/>
              </w:rPr>
              <w:t>进场未按要求送检或检测</w:t>
            </w:r>
            <w:r>
              <w:rPr>
                <w:rFonts w:hint="eastAsia" w:ascii="宋体" w:hAnsi="宋体" w:cs="仿宋_GB2312"/>
                <w:color w:val="auto"/>
                <w:highlight w:val="none"/>
                <w:u w:val="single"/>
              </w:rPr>
              <w:t>不</w:t>
            </w:r>
            <w:r>
              <w:rPr>
                <w:rFonts w:ascii="宋体" w:hAnsi="宋体" w:cs="仿宋_GB2312"/>
                <w:color w:val="auto"/>
                <w:highlight w:val="none"/>
                <w:u w:val="single"/>
              </w:rPr>
              <w:t>符合要求已用于现场施工</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.1.</w:t>
            </w:r>
            <w:r>
              <w:rPr>
                <w:rFonts w:hint="eastAsia" w:ascii="宋体" w:hAnsi="宋体" w:cs="仿宋_GB2312"/>
                <w:color w:val="auto"/>
                <w:highlight w:val="none"/>
                <w:u w:val="single"/>
              </w:rPr>
              <w:t>3</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普通</w:t>
            </w:r>
            <w:r>
              <w:rPr>
                <w:rFonts w:ascii="宋体" w:hAnsi="宋体" w:cs="仿宋_GB2312"/>
                <w:color w:val="auto"/>
                <w:highlight w:val="none"/>
                <w:u w:val="single"/>
              </w:rPr>
              <w:t>钢筋代</w:t>
            </w:r>
            <w:r>
              <w:rPr>
                <w:rFonts w:hint="eastAsia" w:ascii="宋体" w:hAnsi="宋体" w:cs="仿宋_GB2312"/>
                <w:color w:val="auto"/>
                <w:highlight w:val="none"/>
                <w:u w:val="single"/>
              </w:rPr>
              <w:t>替</w:t>
            </w:r>
            <w:r>
              <w:rPr>
                <w:rFonts w:ascii="宋体" w:hAnsi="宋体" w:cs="仿宋_GB2312"/>
                <w:color w:val="auto"/>
                <w:highlight w:val="none"/>
                <w:u w:val="single"/>
              </w:rPr>
              <w:t>抗</w:t>
            </w:r>
            <w:r>
              <w:rPr>
                <w:rFonts w:hint="eastAsia" w:ascii="宋体" w:hAnsi="宋体" w:cs="仿宋_GB2312"/>
                <w:color w:val="auto"/>
                <w:highlight w:val="none"/>
                <w:u w:val="single"/>
              </w:rPr>
              <w:t>震</w:t>
            </w:r>
            <w:r>
              <w:rPr>
                <w:rFonts w:ascii="宋体" w:hAnsi="宋体" w:cs="仿宋_GB2312"/>
                <w:color w:val="auto"/>
                <w:highlight w:val="none"/>
                <w:u w:val="single"/>
              </w:rPr>
              <w:t>钢筋</w:t>
            </w:r>
            <w:r>
              <w:rPr>
                <w:rFonts w:hint="eastAsia" w:ascii="宋体" w:hAnsi="宋体" w:cs="仿宋_GB2312"/>
                <w:color w:val="auto"/>
                <w:highlight w:val="none"/>
                <w:u w:val="single"/>
              </w:rPr>
              <w:t>现场使用。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ascii="宋体" w:hAnsi="宋体" w:cs="仿宋_GB2312"/>
                <w:color w:val="auto"/>
                <w:highlight w:val="none"/>
                <w:u w:val="single"/>
              </w:rPr>
              <w:t>钢筋</w:t>
            </w:r>
            <w:r>
              <w:rPr>
                <w:rFonts w:hint="eastAsia" w:ascii="宋体" w:hAnsi="宋体" w:cs="仿宋_GB2312"/>
                <w:color w:val="auto"/>
                <w:highlight w:val="none"/>
                <w:u w:val="single"/>
              </w:rPr>
              <w:t>连接质量不</w:t>
            </w:r>
            <w:r>
              <w:rPr>
                <w:rFonts w:ascii="宋体" w:hAnsi="宋体" w:cs="仿宋_GB2312"/>
                <w:color w:val="auto"/>
                <w:highlight w:val="none"/>
                <w:u w:val="single"/>
              </w:rPr>
              <w:t>符合</w:t>
            </w:r>
            <w:r>
              <w:rPr>
                <w:rFonts w:hint="eastAsia" w:ascii="宋体" w:hAnsi="宋体" w:cs="仿宋_GB2312"/>
                <w:color w:val="auto"/>
                <w:highlight w:val="none"/>
                <w:u w:val="single"/>
              </w:rPr>
              <w:t>要求</w:t>
            </w:r>
            <w:r>
              <w:rPr>
                <w:rFonts w:ascii="宋体" w:hAnsi="宋体" w:cs="仿宋_GB2312"/>
                <w:color w:val="auto"/>
                <w:highlight w:val="none"/>
                <w:u w:val="single"/>
              </w:rPr>
              <w:t>（</w:t>
            </w:r>
            <w:r>
              <w:rPr>
                <w:rFonts w:hint="eastAsia" w:ascii="宋体" w:hAnsi="宋体" w:cs="仿宋_GB2312"/>
                <w:color w:val="auto"/>
                <w:highlight w:val="none"/>
                <w:u w:val="single"/>
              </w:rPr>
              <w:t>搭</w:t>
            </w:r>
            <w:r>
              <w:rPr>
                <w:rFonts w:ascii="宋体" w:hAnsi="宋体" w:cs="仿宋_GB2312"/>
                <w:color w:val="auto"/>
                <w:highlight w:val="none"/>
                <w:u w:val="single"/>
              </w:rPr>
              <w:t>接、直螺纹连接、焊接）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.2.</w:t>
            </w:r>
            <w:r>
              <w:rPr>
                <w:rFonts w:hint="eastAsia"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现场钢筋连接方式未</w:t>
            </w:r>
            <w:r>
              <w:rPr>
                <w:rFonts w:ascii="宋体" w:hAnsi="宋体" w:cs="仿宋_GB2312"/>
                <w:color w:val="auto"/>
                <w:highlight w:val="none"/>
                <w:u w:val="single"/>
              </w:rPr>
              <w:t>按设计</w:t>
            </w:r>
            <w:r>
              <w:rPr>
                <w:rFonts w:hint="eastAsia" w:ascii="宋体" w:hAnsi="宋体" w:cs="仿宋_GB2312"/>
                <w:color w:val="auto"/>
                <w:highlight w:val="none"/>
                <w:u w:val="single"/>
              </w:rPr>
              <w:t>要求</w:t>
            </w:r>
            <w:r>
              <w:rPr>
                <w:rFonts w:ascii="宋体" w:hAnsi="宋体" w:cs="仿宋_GB2312"/>
                <w:color w:val="auto"/>
                <w:highlight w:val="none"/>
                <w:u w:val="single"/>
              </w:rPr>
              <w:t>进行</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.2.</w:t>
            </w:r>
            <w:r>
              <w:rPr>
                <w:rFonts w:hint="eastAsia"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钢筋</w:t>
            </w:r>
            <w:r>
              <w:rPr>
                <w:rFonts w:ascii="宋体" w:hAnsi="宋体" w:cs="仿宋_GB2312"/>
                <w:color w:val="auto"/>
                <w:highlight w:val="none"/>
                <w:u w:val="single"/>
              </w:rPr>
              <w:t>接头连接</w:t>
            </w:r>
            <w:r>
              <w:rPr>
                <w:rFonts w:hint="eastAsia" w:ascii="宋体" w:hAnsi="宋体" w:cs="仿宋_GB2312"/>
                <w:color w:val="auto"/>
                <w:highlight w:val="none"/>
                <w:u w:val="single"/>
              </w:rPr>
              <w:t>部位、</w:t>
            </w:r>
            <w:r>
              <w:rPr>
                <w:rFonts w:ascii="宋体" w:hAnsi="宋体" w:cs="仿宋_GB2312"/>
                <w:color w:val="auto"/>
                <w:highlight w:val="none"/>
                <w:u w:val="single"/>
              </w:rPr>
              <w:t>面积允许百分率不符合设计和规范要求</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.2.</w:t>
            </w:r>
            <w:r>
              <w:rPr>
                <w:rFonts w:hint="eastAsia" w:ascii="宋体" w:hAnsi="宋体" w:cs="仿宋_GB2312"/>
                <w:color w:val="auto"/>
                <w:highlight w:val="none"/>
                <w:u w:val="single"/>
              </w:rPr>
              <w:t>3</w:t>
            </w:r>
          </w:p>
        </w:tc>
        <w:tc>
          <w:tcPr>
            <w:tcW w:w="7517" w:type="dxa"/>
          </w:tcPr>
          <w:p>
            <w:pPr>
              <w:rPr>
                <w:rFonts w:ascii="宋体" w:hAnsi="宋体" w:cs="仿宋_GB2312"/>
                <w:color w:val="auto"/>
                <w:highlight w:val="none"/>
                <w:u w:val="single"/>
              </w:rPr>
            </w:pPr>
            <w:r>
              <w:rPr>
                <w:rFonts w:ascii="宋体" w:hAnsi="宋体" w:cs="仿宋_GB2312"/>
                <w:color w:val="auto"/>
                <w:highlight w:val="none"/>
                <w:u w:val="single"/>
              </w:rPr>
              <w:t>接</w:t>
            </w:r>
            <w:r>
              <w:rPr>
                <w:rFonts w:hint="eastAsia" w:ascii="宋体" w:hAnsi="宋体" w:cs="仿宋_GB2312"/>
                <w:color w:val="auto"/>
                <w:highlight w:val="none"/>
                <w:u w:val="single"/>
              </w:rPr>
              <w:t>头搭接、绑</w:t>
            </w:r>
            <w:r>
              <w:rPr>
                <w:rFonts w:ascii="宋体" w:hAnsi="宋体" w:cs="仿宋_GB2312"/>
                <w:color w:val="auto"/>
                <w:highlight w:val="none"/>
                <w:u w:val="single"/>
              </w:rPr>
              <w:t>扎或</w:t>
            </w:r>
            <w:r>
              <w:rPr>
                <w:rFonts w:hint="eastAsia" w:ascii="宋体" w:hAnsi="宋体" w:cs="仿宋_GB2312"/>
                <w:color w:val="auto"/>
                <w:highlight w:val="none"/>
                <w:u w:val="single"/>
              </w:rPr>
              <w:t>搭接焊</w:t>
            </w:r>
            <w:r>
              <w:rPr>
                <w:rFonts w:ascii="宋体" w:hAnsi="宋体" w:cs="仿宋_GB2312"/>
                <w:color w:val="auto"/>
                <w:highlight w:val="none"/>
                <w:u w:val="single"/>
              </w:rPr>
              <w:t>长度不足</w:t>
            </w:r>
            <w:r>
              <w:rPr>
                <w:rFonts w:hint="eastAsia" w:ascii="宋体" w:hAnsi="宋体" w:cs="仿宋_GB2312"/>
                <w:color w:val="auto"/>
                <w:highlight w:val="none"/>
                <w:u w:val="single"/>
              </w:rPr>
              <w:t>，</w:t>
            </w:r>
            <w:r>
              <w:rPr>
                <w:rFonts w:ascii="宋体" w:hAnsi="宋体" w:cs="仿宋_GB2312"/>
                <w:color w:val="auto"/>
                <w:highlight w:val="none"/>
                <w:u w:val="single"/>
              </w:rPr>
              <w:t>现场</w:t>
            </w:r>
            <w:r>
              <w:rPr>
                <w:rFonts w:hint="eastAsia" w:ascii="宋体" w:hAnsi="宋体" w:cs="仿宋_GB2312"/>
                <w:color w:val="auto"/>
                <w:highlight w:val="none"/>
                <w:u w:val="single"/>
              </w:rPr>
              <w:t>已</w:t>
            </w:r>
            <w:r>
              <w:rPr>
                <w:rFonts w:ascii="宋体" w:hAnsi="宋体" w:cs="仿宋_GB2312"/>
                <w:color w:val="auto"/>
                <w:highlight w:val="none"/>
                <w:u w:val="single"/>
              </w:rPr>
              <w:t>进入</w:t>
            </w:r>
            <w:r>
              <w:rPr>
                <w:rFonts w:hint="eastAsia" w:ascii="宋体" w:hAnsi="宋体" w:cs="仿宋_GB2312"/>
                <w:color w:val="auto"/>
                <w:highlight w:val="none"/>
                <w:u w:val="single"/>
              </w:rPr>
              <w:t>下</w:t>
            </w:r>
            <w:r>
              <w:rPr>
                <w:rFonts w:ascii="宋体" w:hAnsi="宋体" w:cs="仿宋_GB2312"/>
                <w:color w:val="auto"/>
                <w:highlight w:val="none"/>
                <w:u w:val="single"/>
              </w:rPr>
              <w:t>道工序</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.2.</w:t>
            </w:r>
            <w:r>
              <w:rPr>
                <w:rFonts w:hint="eastAsia" w:ascii="宋体" w:hAnsi="宋体" w:cs="仿宋_GB2312"/>
                <w:color w:val="auto"/>
                <w:highlight w:val="none"/>
                <w:u w:val="single"/>
              </w:rPr>
              <w:t>4</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电渣</w:t>
            </w:r>
            <w:r>
              <w:rPr>
                <w:rFonts w:ascii="宋体" w:hAnsi="宋体" w:cs="仿宋_GB2312"/>
                <w:color w:val="auto"/>
                <w:highlight w:val="none"/>
                <w:u w:val="single"/>
              </w:rPr>
              <w:t>压力焊</w:t>
            </w:r>
            <w:r>
              <w:rPr>
                <w:rFonts w:hint="eastAsia" w:ascii="宋体" w:hAnsi="宋体" w:cs="仿宋_GB2312"/>
                <w:color w:val="auto"/>
                <w:highlight w:val="none"/>
                <w:u w:val="single"/>
              </w:rPr>
              <w:t>出现接</w:t>
            </w:r>
            <w:r>
              <w:rPr>
                <w:rFonts w:ascii="宋体" w:hAnsi="宋体" w:cs="仿宋_GB2312"/>
                <w:color w:val="auto"/>
                <w:highlight w:val="none"/>
                <w:u w:val="single"/>
              </w:rPr>
              <w:t>头处轴线偏位</w:t>
            </w:r>
            <w:r>
              <w:rPr>
                <w:rFonts w:hint="eastAsia" w:ascii="宋体" w:hAnsi="宋体" w:cs="仿宋_GB2312"/>
                <w:color w:val="auto"/>
                <w:highlight w:val="none"/>
                <w:u w:val="single"/>
              </w:rPr>
              <w:t>大于钢筋</w:t>
            </w:r>
            <w:r>
              <w:rPr>
                <w:rFonts w:ascii="宋体" w:hAnsi="宋体" w:cs="仿宋_GB2312"/>
                <w:color w:val="auto"/>
                <w:highlight w:val="none"/>
                <w:u w:val="single"/>
              </w:rPr>
              <w:t>直径的</w:t>
            </w:r>
            <w:r>
              <w:rPr>
                <w:rFonts w:hint="eastAsia" w:ascii="宋体" w:hAnsi="宋体" w:cs="仿宋_GB2312"/>
                <w:color w:val="auto"/>
                <w:highlight w:val="none"/>
                <w:u w:val="single"/>
              </w:rPr>
              <w:t>0.1倍、</w:t>
            </w:r>
            <w:r>
              <w:rPr>
                <w:rFonts w:ascii="宋体" w:hAnsi="宋体" w:cs="仿宋_GB2312"/>
                <w:color w:val="auto"/>
                <w:highlight w:val="none"/>
                <w:u w:val="single"/>
              </w:rPr>
              <w:t>且大于</w:t>
            </w:r>
            <w:r>
              <w:rPr>
                <w:rFonts w:hint="eastAsia" w:ascii="宋体" w:hAnsi="宋体" w:cs="仿宋_GB2312"/>
                <w:color w:val="auto"/>
                <w:highlight w:val="none"/>
                <w:u w:val="single"/>
              </w:rPr>
              <w:t>2</w:t>
            </w:r>
            <w:r>
              <w:rPr>
                <w:rFonts w:ascii="宋体" w:hAnsi="宋体" w:cs="仿宋_GB2312"/>
                <w:color w:val="auto"/>
                <w:highlight w:val="none"/>
                <w:u w:val="single"/>
              </w:rPr>
              <w:t>mm</w:t>
            </w:r>
            <w:r>
              <w:rPr>
                <w:rFonts w:hint="eastAsia" w:ascii="宋体" w:hAnsi="宋体" w:cs="仿宋_GB2312"/>
                <w:color w:val="auto"/>
                <w:highlight w:val="none"/>
                <w:u w:val="single"/>
              </w:rPr>
              <w:t>，接</w:t>
            </w:r>
            <w:r>
              <w:rPr>
                <w:rFonts w:ascii="宋体" w:hAnsi="宋体" w:cs="仿宋_GB2312"/>
                <w:color w:val="auto"/>
                <w:highlight w:val="none"/>
                <w:u w:val="single"/>
              </w:rPr>
              <w:t>头</w:t>
            </w:r>
            <w:r>
              <w:rPr>
                <w:rFonts w:hint="eastAsia" w:ascii="宋体" w:hAnsi="宋体" w:cs="仿宋_GB2312"/>
                <w:color w:val="auto"/>
                <w:highlight w:val="none"/>
                <w:u w:val="single"/>
              </w:rPr>
              <w:t>弯折</w:t>
            </w:r>
            <w:r>
              <w:rPr>
                <w:rFonts w:ascii="宋体" w:hAnsi="宋体" w:cs="仿宋_GB2312"/>
                <w:color w:val="auto"/>
                <w:highlight w:val="none"/>
                <w:u w:val="single"/>
              </w:rPr>
              <w:t>角大于</w:t>
            </w:r>
            <w:r>
              <w:rPr>
                <w:rFonts w:hint="eastAsia" w:ascii="宋体" w:hAnsi="宋体" w:cs="仿宋_GB2312"/>
                <w:color w:val="auto"/>
                <w:highlight w:val="none"/>
                <w:u w:val="single"/>
              </w:rPr>
              <w:t>3</w:t>
            </w:r>
            <w:r>
              <w:rPr>
                <w:rFonts w:ascii="宋体" w:hAnsi="宋体" w:cs="仿宋_GB2312"/>
                <w:color w:val="auto"/>
                <w:highlight w:val="none"/>
                <w:u w:val="single"/>
                <w:vertAlign w:val="superscript"/>
              </w:rPr>
              <w:t>0</w:t>
            </w:r>
            <w:r>
              <w:rPr>
                <w:rFonts w:ascii="宋体" w:hAnsi="宋体" w:cs="仿宋_GB2312"/>
                <w:color w:val="auto"/>
                <w:highlight w:val="none"/>
                <w:u w:val="single"/>
              </w:rPr>
              <w:t>,</w:t>
            </w:r>
            <w:r>
              <w:rPr>
                <w:rFonts w:hint="eastAsia" w:ascii="宋体" w:hAnsi="宋体" w:cs="仿宋_GB2312"/>
                <w:color w:val="auto"/>
                <w:highlight w:val="none"/>
                <w:u w:val="single"/>
              </w:rPr>
              <w:t>钢筋</w:t>
            </w:r>
            <w:r>
              <w:rPr>
                <w:rFonts w:ascii="宋体" w:hAnsi="宋体" w:cs="仿宋_GB2312"/>
                <w:color w:val="auto"/>
                <w:highlight w:val="none"/>
                <w:u w:val="single"/>
              </w:rPr>
              <w:t>与电极接触处</w:t>
            </w:r>
            <w:r>
              <w:rPr>
                <w:rFonts w:hint="eastAsia" w:ascii="宋体" w:hAnsi="宋体" w:cs="仿宋_GB2312"/>
                <w:color w:val="auto"/>
                <w:highlight w:val="none"/>
                <w:u w:val="single"/>
              </w:rPr>
              <w:t>烧伤</w:t>
            </w:r>
            <w:r>
              <w:rPr>
                <w:rFonts w:ascii="宋体" w:hAnsi="宋体" w:cs="仿宋_GB2312"/>
                <w:color w:val="auto"/>
                <w:highlight w:val="none"/>
                <w:u w:val="single"/>
              </w:rPr>
              <w:t>缺陷</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 w:hRule="atLeast"/>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2</w:t>
            </w:r>
            <w:r>
              <w:rPr>
                <w:rFonts w:ascii="宋体" w:hAnsi="宋体" w:cs="仿宋_GB2312"/>
                <w:color w:val="auto"/>
                <w:highlight w:val="none"/>
                <w:u w:val="single"/>
              </w:rPr>
              <w:t>.2.</w:t>
            </w:r>
            <w:r>
              <w:rPr>
                <w:rFonts w:hint="eastAsia" w:ascii="宋体" w:hAnsi="宋体" w:cs="仿宋_GB2312"/>
                <w:color w:val="auto"/>
                <w:highlight w:val="none"/>
                <w:u w:val="single"/>
              </w:rPr>
              <w:t>5</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直螺纹</w:t>
            </w:r>
            <w:r>
              <w:rPr>
                <w:rFonts w:ascii="宋体" w:hAnsi="宋体" w:cs="仿宋_GB2312"/>
                <w:color w:val="auto"/>
                <w:highlight w:val="none"/>
                <w:u w:val="single"/>
              </w:rPr>
              <w:t>套</w:t>
            </w:r>
            <w:r>
              <w:rPr>
                <w:rFonts w:hint="eastAsia" w:ascii="宋体" w:hAnsi="宋体" w:cs="仿宋_GB2312"/>
                <w:color w:val="auto"/>
                <w:highlight w:val="none"/>
                <w:u w:val="single"/>
              </w:rPr>
              <w:t>筒</w:t>
            </w:r>
            <w:r>
              <w:rPr>
                <w:rFonts w:ascii="宋体" w:hAnsi="宋体" w:cs="仿宋_GB2312"/>
                <w:color w:val="auto"/>
                <w:highlight w:val="none"/>
                <w:u w:val="single"/>
              </w:rPr>
              <w:t>连接</w:t>
            </w:r>
            <w:r>
              <w:rPr>
                <w:rFonts w:hint="eastAsia" w:ascii="宋体" w:hAnsi="宋体" w:cs="仿宋_GB2312"/>
                <w:color w:val="auto"/>
                <w:highlight w:val="none"/>
                <w:u w:val="single"/>
              </w:rPr>
              <w:t>钢筋外</w:t>
            </w:r>
            <w:r>
              <w:rPr>
                <w:rFonts w:ascii="宋体" w:hAnsi="宋体" w:cs="仿宋_GB2312"/>
                <w:color w:val="auto"/>
                <w:highlight w:val="none"/>
                <w:u w:val="single"/>
              </w:rPr>
              <w:t>露丝</w:t>
            </w:r>
            <w:r>
              <w:rPr>
                <w:rFonts w:hint="eastAsia" w:ascii="宋体" w:hAnsi="宋体" w:cs="仿宋_GB2312"/>
                <w:color w:val="auto"/>
                <w:highlight w:val="none"/>
                <w:u w:val="single"/>
              </w:rPr>
              <w:t>扣</w:t>
            </w:r>
            <w:r>
              <w:rPr>
                <w:rFonts w:ascii="宋体" w:hAnsi="宋体" w:cs="仿宋_GB2312"/>
                <w:color w:val="auto"/>
                <w:highlight w:val="none"/>
                <w:u w:val="single"/>
              </w:rPr>
              <w:t>大于</w:t>
            </w:r>
            <w:r>
              <w:rPr>
                <w:rFonts w:hint="eastAsia" w:ascii="宋体" w:hAnsi="宋体" w:cs="仿宋_GB2312"/>
                <w:color w:val="auto"/>
                <w:highlight w:val="none"/>
                <w:u w:val="single"/>
              </w:rPr>
              <w:t>2</w:t>
            </w:r>
            <w:r>
              <w:rPr>
                <w:rFonts w:ascii="宋体" w:hAnsi="宋体" w:cs="仿宋_GB2312"/>
                <w:color w:val="auto"/>
                <w:highlight w:val="none"/>
                <w:u w:val="single"/>
              </w:rPr>
              <w:t>P</w:t>
            </w:r>
            <w:r>
              <w:rPr>
                <w:rFonts w:hint="eastAsia" w:ascii="宋体" w:hAnsi="宋体" w:cs="仿宋_GB2312"/>
                <w:color w:val="auto"/>
                <w:highlight w:val="none"/>
                <w:u w:val="single"/>
              </w:rPr>
              <w:t>，钢筋端部未切平整。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3</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钢筋植筋</w:t>
            </w:r>
            <w:r>
              <w:rPr>
                <w:rFonts w:ascii="宋体" w:hAnsi="宋体" w:cs="仿宋_GB2312"/>
                <w:b/>
                <w:color w:val="auto"/>
                <w:highlight w:val="none"/>
                <w:u w:val="single"/>
              </w:rPr>
              <w:t>（</w:t>
            </w:r>
            <w:r>
              <w:rPr>
                <w:rFonts w:hint="eastAsia" w:ascii="宋体" w:hAnsi="宋体" w:cs="仿宋_GB2312"/>
                <w:b/>
                <w:color w:val="auto"/>
                <w:highlight w:val="none"/>
                <w:u w:val="single"/>
              </w:rPr>
              <w:t>含</w:t>
            </w:r>
            <w:r>
              <w:rPr>
                <w:rFonts w:ascii="宋体" w:hAnsi="宋体" w:cs="仿宋_GB2312"/>
                <w:b/>
                <w:color w:val="auto"/>
                <w:highlight w:val="none"/>
                <w:u w:val="single"/>
              </w:rPr>
              <w:t>砌筑拉结筋）</w:t>
            </w:r>
            <w:r>
              <w:rPr>
                <w:rFonts w:hint="eastAsia" w:ascii="宋体" w:hAnsi="宋体" w:cs="仿宋_GB2312"/>
                <w:b/>
                <w:color w:val="auto"/>
                <w:highlight w:val="none"/>
                <w:u w:val="single"/>
              </w:rPr>
              <w:t>未</w:t>
            </w:r>
            <w:r>
              <w:rPr>
                <w:rFonts w:ascii="宋体" w:hAnsi="宋体" w:cs="仿宋_GB2312"/>
                <w:b/>
                <w:color w:val="auto"/>
                <w:highlight w:val="none"/>
                <w:u w:val="single"/>
              </w:rPr>
              <w:t>按设计及规范施工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3.</w:t>
            </w:r>
            <w:r>
              <w:rPr>
                <w:rFonts w:hint="eastAsia"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现场</w:t>
            </w:r>
            <w:r>
              <w:rPr>
                <w:rFonts w:ascii="宋体" w:hAnsi="宋体" w:cs="仿宋_GB2312"/>
                <w:color w:val="auto"/>
                <w:highlight w:val="none"/>
                <w:u w:val="single"/>
              </w:rPr>
              <w:t>使用不合格的钢筋胶粘剂</w:t>
            </w:r>
            <w:r>
              <w:rPr>
                <w:rFonts w:hint="eastAsia" w:ascii="宋体" w:hAnsi="宋体" w:cs="仿宋_GB2312"/>
                <w:color w:val="auto"/>
                <w:highlight w:val="none"/>
                <w:u w:val="single"/>
              </w:rPr>
              <w:t>，</w:t>
            </w:r>
            <w:r>
              <w:rPr>
                <w:rFonts w:ascii="宋体" w:hAnsi="宋体" w:cs="仿宋_GB2312"/>
                <w:color w:val="auto"/>
                <w:highlight w:val="none"/>
                <w:u w:val="single"/>
              </w:rPr>
              <w:t>或</w:t>
            </w:r>
            <w:r>
              <w:rPr>
                <w:rFonts w:hint="eastAsia" w:ascii="宋体" w:hAnsi="宋体" w:cs="仿宋_GB2312"/>
                <w:color w:val="auto"/>
                <w:highlight w:val="none"/>
                <w:u w:val="single"/>
              </w:rPr>
              <w:t>植</w:t>
            </w:r>
            <w:r>
              <w:rPr>
                <w:rFonts w:ascii="宋体" w:hAnsi="宋体" w:cs="仿宋_GB2312"/>
                <w:color w:val="auto"/>
                <w:highlight w:val="none"/>
                <w:u w:val="single"/>
              </w:rPr>
              <w:t>筋胶进场未按要求送检或检测</w:t>
            </w:r>
            <w:r>
              <w:rPr>
                <w:rFonts w:hint="eastAsia" w:ascii="宋体" w:hAnsi="宋体" w:cs="仿宋_GB2312"/>
                <w:color w:val="auto"/>
                <w:highlight w:val="none"/>
                <w:u w:val="single"/>
              </w:rPr>
              <w:t>不</w:t>
            </w:r>
            <w:r>
              <w:rPr>
                <w:rFonts w:ascii="宋体" w:hAnsi="宋体" w:cs="仿宋_GB2312"/>
                <w:color w:val="auto"/>
                <w:highlight w:val="none"/>
                <w:u w:val="single"/>
              </w:rPr>
              <w:t>符合要求已用于现场施工</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3.</w:t>
            </w:r>
            <w:r>
              <w:rPr>
                <w:rFonts w:hint="eastAsia"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按</w:t>
            </w:r>
            <w:r>
              <w:rPr>
                <w:rFonts w:ascii="宋体" w:hAnsi="宋体" w:cs="仿宋_GB2312"/>
                <w:color w:val="auto"/>
                <w:highlight w:val="none"/>
                <w:u w:val="single"/>
              </w:rPr>
              <w:t>承</w:t>
            </w:r>
            <w:r>
              <w:rPr>
                <w:rFonts w:hint="eastAsia" w:ascii="宋体" w:hAnsi="宋体" w:cs="仿宋_GB2312"/>
                <w:color w:val="auto"/>
                <w:highlight w:val="none"/>
                <w:u w:val="single"/>
              </w:rPr>
              <w:t>重</w:t>
            </w:r>
            <w:r>
              <w:rPr>
                <w:rFonts w:ascii="宋体" w:hAnsi="宋体" w:cs="仿宋_GB2312"/>
                <w:color w:val="auto"/>
                <w:highlight w:val="none"/>
                <w:u w:val="single"/>
              </w:rPr>
              <w:t>结构</w:t>
            </w:r>
            <w:r>
              <w:rPr>
                <w:rFonts w:hint="eastAsia" w:ascii="宋体" w:hAnsi="宋体" w:cs="仿宋_GB2312"/>
                <w:color w:val="auto"/>
                <w:highlight w:val="none"/>
                <w:u w:val="single"/>
              </w:rPr>
              <w:t>，发现植筋孔锚固深度不</w:t>
            </w:r>
            <w:r>
              <w:rPr>
                <w:rFonts w:ascii="宋体" w:hAnsi="宋体" w:cs="仿宋_GB2312"/>
                <w:color w:val="auto"/>
                <w:highlight w:val="none"/>
                <w:u w:val="single"/>
              </w:rPr>
              <w:t>符合设计要求，按构造要求</w:t>
            </w:r>
            <w:r>
              <w:rPr>
                <w:rFonts w:hint="eastAsia" w:ascii="宋体" w:hAnsi="宋体" w:cs="仿宋_GB2312"/>
                <w:color w:val="auto"/>
                <w:highlight w:val="none"/>
                <w:u w:val="single"/>
              </w:rPr>
              <w:t>植</w:t>
            </w:r>
            <w:r>
              <w:rPr>
                <w:rFonts w:ascii="宋体" w:hAnsi="宋体" w:cs="仿宋_GB2312"/>
                <w:color w:val="auto"/>
                <w:highlight w:val="none"/>
                <w:u w:val="single"/>
              </w:rPr>
              <w:t>筋孔</w:t>
            </w:r>
            <w:r>
              <w:rPr>
                <w:rFonts w:hint="eastAsia" w:ascii="宋体" w:hAnsi="宋体" w:cs="仿宋_GB2312"/>
                <w:color w:val="auto"/>
                <w:highlight w:val="none"/>
                <w:u w:val="single"/>
              </w:rPr>
              <w:t>最</w:t>
            </w:r>
            <w:r>
              <w:rPr>
                <w:rFonts w:ascii="宋体" w:hAnsi="宋体" w:cs="仿宋_GB2312"/>
                <w:color w:val="auto"/>
                <w:highlight w:val="none"/>
                <w:u w:val="single"/>
              </w:rPr>
              <w:t>小锚固长度不符合设计</w:t>
            </w:r>
            <w:r>
              <w:rPr>
                <w:rFonts w:hint="eastAsia" w:ascii="宋体" w:hAnsi="宋体" w:cs="仿宋_GB2312"/>
                <w:color w:val="auto"/>
                <w:highlight w:val="none"/>
                <w:u w:val="single"/>
              </w:rPr>
              <w:t>及</w:t>
            </w:r>
            <w:r>
              <w:rPr>
                <w:rFonts w:ascii="宋体" w:hAnsi="宋体" w:cs="仿宋_GB2312"/>
                <w:color w:val="auto"/>
                <w:highlight w:val="none"/>
                <w:u w:val="single"/>
              </w:rPr>
              <w:t>规范要求</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3.</w:t>
            </w:r>
            <w:r>
              <w:rPr>
                <w:rFonts w:hint="eastAsia" w:ascii="宋体" w:hAnsi="宋体" w:cs="仿宋_GB2312"/>
                <w:color w:val="auto"/>
                <w:highlight w:val="none"/>
                <w:u w:val="single"/>
              </w:rPr>
              <w:t>3</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承重</w:t>
            </w:r>
            <w:r>
              <w:rPr>
                <w:rFonts w:ascii="宋体" w:hAnsi="宋体" w:cs="仿宋_GB2312"/>
                <w:color w:val="auto"/>
                <w:highlight w:val="none"/>
                <w:u w:val="single"/>
              </w:rPr>
              <w:t>结构和</w:t>
            </w:r>
            <w:r>
              <w:rPr>
                <w:rFonts w:hint="eastAsia" w:ascii="宋体" w:hAnsi="宋体" w:cs="仿宋_GB2312"/>
                <w:color w:val="auto"/>
                <w:highlight w:val="none"/>
                <w:u w:val="single"/>
              </w:rPr>
              <w:t>填充墙与承重墙、柱、梁的连接钢筋采用</w:t>
            </w:r>
            <w:r>
              <w:rPr>
                <w:rFonts w:ascii="宋体" w:hAnsi="宋体" w:cs="仿宋_GB2312"/>
                <w:color w:val="auto"/>
                <w:highlight w:val="none"/>
                <w:u w:val="single"/>
              </w:rPr>
              <w:t>化学植筋</w:t>
            </w:r>
            <w:r>
              <w:rPr>
                <w:rFonts w:hint="eastAsia" w:ascii="宋体" w:hAnsi="宋体" w:cs="仿宋_GB2312"/>
                <w:color w:val="auto"/>
                <w:highlight w:val="none"/>
                <w:u w:val="single"/>
              </w:rPr>
              <w:t>时</w:t>
            </w:r>
            <w:r>
              <w:rPr>
                <w:rFonts w:ascii="宋体" w:hAnsi="宋体" w:cs="仿宋_GB2312"/>
                <w:color w:val="auto"/>
                <w:highlight w:val="none"/>
                <w:u w:val="single"/>
              </w:rPr>
              <w:t>，</w:t>
            </w:r>
            <w:r>
              <w:rPr>
                <w:rFonts w:hint="eastAsia" w:ascii="宋体" w:hAnsi="宋体" w:cs="仿宋_GB2312"/>
                <w:color w:val="auto"/>
                <w:highlight w:val="none"/>
                <w:u w:val="single"/>
              </w:rPr>
              <w:t>未按要求及时</w:t>
            </w:r>
            <w:r>
              <w:rPr>
                <w:rFonts w:ascii="宋体" w:hAnsi="宋体" w:cs="仿宋_GB2312"/>
                <w:color w:val="auto"/>
                <w:highlight w:val="none"/>
                <w:u w:val="single"/>
              </w:rPr>
              <w:t>进行实体</w:t>
            </w:r>
            <w:r>
              <w:rPr>
                <w:rFonts w:hint="eastAsia" w:ascii="宋体" w:hAnsi="宋体" w:cs="仿宋_GB2312"/>
                <w:color w:val="auto"/>
                <w:highlight w:val="none"/>
                <w:u w:val="single"/>
              </w:rPr>
              <w:t>锚</w:t>
            </w:r>
            <w:r>
              <w:rPr>
                <w:rFonts w:ascii="宋体" w:hAnsi="宋体" w:cs="仿宋_GB2312"/>
                <w:color w:val="auto"/>
                <w:highlight w:val="none"/>
                <w:u w:val="single"/>
              </w:rPr>
              <w:t>固钢筋抗拉拔</w:t>
            </w:r>
            <w:r>
              <w:rPr>
                <w:rFonts w:hint="eastAsia" w:ascii="宋体" w:hAnsi="宋体" w:cs="仿宋_GB2312"/>
                <w:color w:val="auto"/>
                <w:highlight w:val="none"/>
                <w:u w:val="single"/>
              </w:rPr>
              <w:t>试验</w:t>
            </w:r>
            <w:r>
              <w:rPr>
                <w:rFonts w:ascii="宋体" w:hAnsi="宋体" w:cs="仿宋_GB2312"/>
                <w:color w:val="auto"/>
                <w:highlight w:val="none"/>
                <w:u w:val="single"/>
              </w:rPr>
              <w:t>的</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4</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结构楼</w:t>
            </w:r>
            <w:r>
              <w:rPr>
                <w:rFonts w:ascii="宋体" w:hAnsi="宋体" w:cs="仿宋_GB2312"/>
                <w:b/>
                <w:color w:val="auto"/>
                <w:highlight w:val="none"/>
                <w:u w:val="single"/>
              </w:rPr>
              <w:t>板（</w:t>
            </w:r>
            <w:r>
              <w:rPr>
                <w:rFonts w:hint="eastAsia" w:ascii="宋体" w:hAnsi="宋体" w:cs="仿宋_GB2312"/>
                <w:b/>
                <w:color w:val="auto"/>
                <w:highlight w:val="none"/>
                <w:u w:val="single"/>
              </w:rPr>
              <w:t>含</w:t>
            </w:r>
            <w:r>
              <w:rPr>
                <w:rFonts w:ascii="宋体" w:hAnsi="宋体" w:cs="仿宋_GB2312"/>
                <w:b/>
                <w:color w:val="auto"/>
                <w:highlight w:val="none"/>
                <w:u w:val="single"/>
              </w:rPr>
              <w:t>梯板）</w:t>
            </w:r>
            <w:r>
              <w:rPr>
                <w:rFonts w:hint="eastAsia" w:ascii="宋体" w:hAnsi="宋体" w:cs="仿宋_GB2312"/>
                <w:b/>
                <w:color w:val="auto"/>
                <w:highlight w:val="none"/>
                <w:u w:val="single"/>
              </w:rPr>
              <w:t>厚度</w:t>
            </w:r>
            <w:r>
              <w:rPr>
                <w:rFonts w:ascii="宋体" w:hAnsi="宋体" w:cs="仿宋_GB2312"/>
                <w:b/>
                <w:color w:val="auto"/>
                <w:highlight w:val="none"/>
                <w:u w:val="single"/>
              </w:rPr>
              <w:t>偏差值超出</w:t>
            </w:r>
            <w:r>
              <w:rPr>
                <w:rFonts w:hint="eastAsia" w:ascii="宋体" w:hAnsi="宋体" w:cs="仿宋_GB2312"/>
                <w:b/>
                <w:color w:val="auto"/>
                <w:highlight w:val="none"/>
                <w:u w:val="single"/>
              </w:rPr>
              <w:t>-15%或+20%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5</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有保温</w:t>
            </w:r>
            <w:r>
              <w:rPr>
                <w:rFonts w:ascii="宋体" w:hAnsi="宋体" w:cs="仿宋_GB2312"/>
                <w:b/>
                <w:color w:val="auto"/>
                <w:highlight w:val="none"/>
                <w:u w:val="single"/>
              </w:rPr>
              <w:t>或地暖的地面找平层未按设计要求设置防开裂钢筋网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6</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非</w:t>
            </w:r>
            <w:r>
              <w:rPr>
                <w:rFonts w:ascii="宋体" w:hAnsi="宋体" w:cs="仿宋_GB2312"/>
                <w:b/>
                <w:color w:val="auto"/>
                <w:highlight w:val="none"/>
                <w:u w:val="single"/>
              </w:rPr>
              <w:t>结构墙体或地面出现大面积</w:t>
            </w:r>
            <w:r>
              <w:rPr>
                <w:rFonts w:hint="eastAsia" w:ascii="宋体" w:hAnsi="宋体" w:cs="仿宋_GB2312"/>
                <w:b/>
                <w:color w:val="auto"/>
                <w:highlight w:val="none"/>
                <w:u w:val="single"/>
              </w:rPr>
              <w:t>空鼓</w:t>
            </w:r>
            <w:r>
              <w:rPr>
                <w:rFonts w:ascii="宋体" w:hAnsi="宋体" w:cs="仿宋_GB2312"/>
                <w:b/>
                <w:color w:val="auto"/>
                <w:highlight w:val="none"/>
                <w:u w:val="single"/>
              </w:rPr>
              <w:t>、起砂、开裂，外墙饰面</w:t>
            </w:r>
            <w:r>
              <w:rPr>
                <w:rFonts w:hint="eastAsia" w:ascii="宋体" w:hAnsi="宋体" w:cs="仿宋_GB2312"/>
                <w:b/>
                <w:color w:val="auto"/>
                <w:highlight w:val="none"/>
                <w:u w:val="single"/>
              </w:rPr>
              <w:t>层</w:t>
            </w:r>
            <w:r>
              <w:rPr>
                <w:rFonts w:ascii="宋体" w:hAnsi="宋体" w:cs="仿宋_GB2312"/>
                <w:b/>
                <w:color w:val="auto"/>
                <w:highlight w:val="none"/>
                <w:u w:val="single"/>
              </w:rPr>
              <w:t>出现</w:t>
            </w:r>
            <w:r>
              <w:rPr>
                <w:rFonts w:hint="eastAsia" w:ascii="宋体" w:hAnsi="宋体" w:cs="仿宋_GB2312"/>
                <w:b/>
                <w:color w:val="auto"/>
                <w:highlight w:val="none"/>
                <w:u w:val="single"/>
              </w:rPr>
              <w:t>大面积</w:t>
            </w:r>
            <w:r>
              <w:rPr>
                <w:rFonts w:ascii="宋体" w:hAnsi="宋体" w:cs="仿宋_GB2312"/>
                <w:b/>
                <w:color w:val="auto"/>
                <w:highlight w:val="none"/>
                <w:u w:val="single"/>
              </w:rPr>
              <w:t>脱落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hint="eastAsia" w:ascii="宋体" w:hAnsi="宋体" w:cs="仿宋_GB2312"/>
                <w:color w:val="auto"/>
                <w:highlight w:val="none"/>
                <w:u w:val="single"/>
              </w:rPr>
              <w:t>6</w:t>
            </w:r>
            <w:r>
              <w:rPr>
                <w:rFonts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墙</w:t>
            </w:r>
            <w:r>
              <w:rPr>
                <w:rFonts w:ascii="宋体" w:hAnsi="宋体" w:cs="仿宋_GB2312"/>
                <w:color w:val="auto"/>
                <w:highlight w:val="none"/>
                <w:u w:val="single"/>
              </w:rPr>
              <w:t>体抹灰</w:t>
            </w:r>
            <w:r>
              <w:rPr>
                <w:rFonts w:hint="eastAsia" w:ascii="宋体" w:hAnsi="宋体" w:cs="仿宋_GB2312"/>
                <w:color w:val="auto"/>
                <w:highlight w:val="none"/>
                <w:u w:val="single"/>
              </w:rPr>
              <w:t>和</w:t>
            </w:r>
            <w:r>
              <w:rPr>
                <w:rFonts w:ascii="宋体" w:hAnsi="宋体" w:cs="仿宋_GB2312"/>
                <w:color w:val="auto"/>
                <w:highlight w:val="none"/>
                <w:u w:val="single"/>
              </w:rPr>
              <w:t>地面水泥砂浆面层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6.1.1</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现场未</w:t>
            </w:r>
            <w:r>
              <w:rPr>
                <w:rFonts w:ascii="宋体" w:hAnsi="宋体" w:cs="仿宋_GB2312"/>
                <w:color w:val="auto"/>
                <w:highlight w:val="none"/>
                <w:u w:val="single"/>
              </w:rPr>
              <w:t>按设计</w:t>
            </w:r>
            <w:r>
              <w:rPr>
                <w:rFonts w:hint="eastAsia" w:ascii="宋体" w:hAnsi="宋体" w:cs="仿宋_GB2312"/>
                <w:color w:val="auto"/>
                <w:highlight w:val="none"/>
                <w:u w:val="single"/>
              </w:rPr>
              <w:t>要求</w:t>
            </w:r>
            <w:r>
              <w:rPr>
                <w:rFonts w:ascii="宋体" w:hAnsi="宋体" w:cs="仿宋_GB2312"/>
                <w:color w:val="auto"/>
                <w:highlight w:val="none"/>
                <w:u w:val="single"/>
              </w:rPr>
              <w:t>、</w:t>
            </w:r>
            <w:r>
              <w:rPr>
                <w:rFonts w:hint="eastAsia" w:ascii="宋体" w:hAnsi="宋体" w:cs="仿宋_GB2312"/>
                <w:color w:val="auto"/>
                <w:highlight w:val="none"/>
                <w:u w:val="single"/>
              </w:rPr>
              <w:t>强度等</w:t>
            </w:r>
            <w:r>
              <w:rPr>
                <w:rFonts w:ascii="宋体" w:hAnsi="宋体" w:cs="仿宋_GB2312"/>
                <w:color w:val="auto"/>
                <w:highlight w:val="none"/>
                <w:u w:val="single"/>
              </w:rPr>
              <w:t>级要求使用</w:t>
            </w:r>
            <w:r>
              <w:rPr>
                <w:rFonts w:hint="eastAsia" w:ascii="宋体" w:hAnsi="宋体" w:cs="仿宋_GB2312"/>
                <w:color w:val="auto"/>
                <w:highlight w:val="none"/>
                <w:u w:val="single"/>
              </w:rPr>
              <w:t>水泥砂</w:t>
            </w:r>
            <w:r>
              <w:rPr>
                <w:rFonts w:ascii="宋体" w:hAnsi="宋体" w:cs="仿宋_GB2312"/>
                <w:color w:val="auto"/>
                <w:highlight w:val="none"/>
                <w:u w:val="single"/>
              </w:rPr>
              <w:t>浆</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6.1.2</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抹</w:t>
            </w:r>
            <w:r>
              <w:rPr>
                <w:rFonts w:ascii="宋体" w:hAnsi="宋体" w:cs="仿宋_GB2312"/>
                <w:color w:val="auto"/>
                <w:highlight w:val="none"/>
                <w:u w:val="single"/>
              </w:rPr>
              <w:t>灰层未充分凝结硬化前，出</w:t>
            </w:r>
            <w:r>
              <w:rPr>
                <w:rFonts w:hint="eastAsia" w:ascii="宋体" w:hAnsi="宋体" w:cs="仿宋_GB2312"/>
                <w:color w:val="auto"/>
                <w:highlight w:val="none"/>
                <w:u w:val="single"/>
              </w:rPr>
              <w:t>现</w:t>
            </w:r>
            <w:r>
              <w:rPr>
                <w:rFonts w:ascii="宋体" w:hAnsi="宋体" w:cs="仿宋_GB2312"/>
                <w:color w:val="auto"/>
                <w:highlight w:val="none"/>
                <w:u w:val="single"/>
              </w:rPr>
              <w:t>水冲、撞击、振动和挤压</w:t>
            </w:r>
            <w:r>
              <w:rPr>
                <w:rFonts w:hint="eastAsia" w:ascii="宋体" w:hAnsi="宋体" w:cs="仿宋_GB2312"/>
                <w:color w:val="auto"/>
                <w:highlight w:val="none"/>
                <w:u w:val="single"/>
              </w:rPr>
              <w:t>等影响</w:t>
            </w:r>
            <w:r>
              <w:rPr>
                <w:rFonts w:ascii="宋体" w:hAnsi="宋体" w:cs="仿宋_GB2312"/>
                <w:color w:val="auto"/>
                <w:highlight w:val="none"/>
                <w:u w:val="single"/>
              </w:rPr>
              <w:t>灰层强度</w:t>
            </w:r>
            <w:r>
              <w:rPr>
                <w:rFonts w:hint="eastAsia" w:ascii="宋体" w:hAnsi="宋体" w:cs="仿宋_GB2312"/>
                <w:color w:val="auto"/>
                <w:highlight w:val="none"/>
                <w:u w:val="single"/>
              </w:rPr>
              <w:t>、</w:t>
            </w:r>
            <w:r>
              <w:rPr>
                <w:rFonts w:ascii="宋体" w:hAnsi="宋体" w:cs="仿宋_GB2312"/>
                <w:color w:val="auto"/>
                <w:highlight w:val="none"/>
                <w:u w:val="single"/>
              </w:rPr>
              <w:t>粘结效果的</w:t>
            </w:r>
            <w:r>
              <w:rPr>
                <w:rFonts w:hint="eastAsia" w:ascii="宋体" w:hAnsi="宋体" w:cs="仿宋_GB2312"/>
                <w:color w:val="auto"/>
                <w:highlight w:val="none"/>
                <w:u w:val="single"/>
              </w:rPr>
              <w:t>现象。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6.1.3</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抹</w:t>
            </w:r>
            <w:r>
              <w:rPr>
                <w:rFonts w:ascii="宋体" w:hAnsi="宋体" w:cs="仿宋_GB2312"/>
                <w:color w:val="auto"/>
                <w:highlight w:val="none"/>
                <w:u w:val="single"/>
              </w:rPr>
              <w:t>灰</w:t>
            </w:r>
            <w:r>
              <w:rPr>
                <w:rFonts w:hint="eastAsia" w:ascii="宋体" w:hAnsi="宋体" w:cs="仿宋_GB2312"/>
                <w:color w:val="auto"/>
                <w:highlight w:val="none"/>
                <w:u w:val="single"/>
              </w:rPr>
              <w:t>砂浆结</w:t>
            </w:r>
            <w:r>
              <w:rPr>
                <w:rFonts w:ascii="宋体" w:hAnsi="宋体" w:cs="仿宋_GB2312"/>
                <w:color w:val="auto"/>
                <w:highlight w:val="none"/>
                <w:u w:val="single"/>
              </w:rPr>
              <w:t>硬后加</w:t>
            </w:r>
            <w:r>
              <w:rPr>
                <w:rFonts w:hint="eastAsia" w:ascii="宋体" w:hAnsi="宋体" w:cs="仿宋_GB2312"/>
                <w:color w:val="auto"/>
                <w:highlight w:val="none"/>
                <w:u w:val="single"/>
              </w:rPr>
              <w:t>水</w:t>
            </w:r>
            <w:r>
              <w:rPr>
                <w:rFonts w:ascii="宋体" w:hAnsi="宋体" w:cs="仿宋_GB2312"/>
                <w:color w:val="auto"/>
                <w:highlight w:val="none"/>
                <w:u w:val="single"/>
              </w:rPr>
              <w:t>搅拌再使用</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hint="eastAsia" w:ascii="宋体" w:hAnsi="宋体" w:cs="仿宋_GB2312"/>
                <w:color w:val="auto"/>
                <w:highlight w:val="none"/>
                <w:u w:val="single"/>
              </w:rPr>
              <w:t>6</w:t>
            </w:r>
            <w:r>
              <w:rPr>
                <w:rFonts w:ascii="宋体" w:hAnsi="宋体" w:cs="仿宋_GB2312"/>
                <w:color w:val="auto"/>
                <w:highlight w:val="none"/>
                <w:u w:val="single"/>
              </w:rPr>
              <w:t>.2</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墙</w:t>
            </w:r>
            <w:r>
              <w:rPr>
                <w:rFonts w:ascii="宋体" w:hAnsi="宋体" w:cs="仿宋_GB2312"/>
                <w:color w:val="auto"/>
                <w:highlight w:val="none"/>
                <w:u w:val="single"/>
              </w:rPr>
              <w:t>地面瓷砖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hint="eastAsia" w:ascii="宋体" w:hAnsi="宋体" w:cs="仿宋_GB2312"/>
                <w:color w:val="auto"/>
                <w:highlight w:val="none"/>
                <w:u w:val="single"/>
              </w:rPr>
              <w:t>6</w:t>
            </w:r>
            <w:r>
              <w:rPr>
                <w:rFonts w:ascii="宋体" w:hAnsi="宋体" w:cs="仿宋_GB2312"/>
                <w:color w:val="auto"/>
                <w:highlight w:val="none"/>
                <w:u w:val="single"/>
              </w:rPr>
              <w:t>.2.1</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瓷砖粘结</w:t>
            </w:r>
            <w:r>
              <w:rPr>
                <w:rFonts w:ascii="宋体" w:hAnsi="宋体" w:cs="仿宋_GB2312"/>
                <w:color w:val="auto"/>
                <w:highlight w:val="none"/>
                <w:u w:val="single"/>
              </w:rPr>
              <w:t>胶</w:t>
            </w:r>
            <w:r>
              <w:rPr>
                <w:rFonts w:hint="eastAsia" w:ascii="宋体" w:hAnsi="宋体" w:cs="仿宋_GB2312"/>
                <w:color w:val="auto"/>
                <w:highlight w:val="none"/>
                <w:u w:val="single"/>
              </w:rPr>
              <w:t>未</w:t>
            </w:r>
            <w:r>
              <w:rPr>
                <w:rFonts w:ascii="宋体" w:hAnsi="宋体" w:cs="仿宋_GB2312"/>
                <w:color w:val="auto"/>
                <w:highlight w:val="none"/>
                <w:u w:val="single"/>
              </w:rPr>
              <w:t>按</w:t>
            </w:r>
            <w:r>
              <w:rPr>
                <w:rFonts w:hint="eastAsia" w:ascii="宋体" w:hAnsi="宋体" w:cs="仿宋_GB2312"/>
                <w:color w:val="auto"/>
                <w:highlight w:val="none"/>
                <w:u w:val="single"/>
              </w:rPr>
              <w:t>设计</w:t>
            </w:r>
            <w:r>
              <w:rPr>
                <w:rFonts w:ascii="宋体" w:hAnsi="宋体" w:cs="仿宋_GB2312"/>
                <w:color w:val="auto"/>
                <w:highlight w:val="none"/>
                <w:u w:val="single"/>
              </w:rPr>
              <w:t>要求</w:t>
            </w:r>
            <w:r>
              <w:rPr>
                <w:rFonts w:hint="eastAsia" w:ascii="宋体" w:hAnsi="宋体" w:cs="仿宋_GB2312"/>
                <w:color w:val="auto"/>
                <w:highlight w:val="none"/>
                <w:u w:val="single"/>
              </w:rPr>
              <w:t>使用</w:t>
            </w:r>
            <w:r>
              <w:rPr>
                <w:rFonts w:ascii="宋体" w:hAnsi="宋体" w:cs="仿宋_GB2312"/>
                <w:color w:val="auto"/>
                <w:highlight w:val="none"/>
                <w:u w:val="single"/>
              </w:rPr>
              <w:t>或</w:t>
            </w:r>
            <w:r>
              <w:rPr>
                <w:rFonts w:hint="eastAsia" w:ascii="宋体" w:hAnsi="宋体" w:cs="仿宋_GB2312"/>
                <w:color w:val="auto"/>
                <w:highlight w:val="none"/>
                <w:u w:val="single"/>
              </w:rPr>
              <w:t>未</w:t>
            </w:r>
            <w:r>
              <w:rPr>
                <w:rFonts w:ascii="宋体" w:hAnsi="宋体" w:cs="仿宋_GB2312"/>
                <w:color w:val="auto"/>
                <w:highlight w:val="none"/>
                <w:u w:val="single"/>
              </w:rPr>
              <w:t>按</w:t>
            </w:r>
            <w:r>
              <w:rPr>
                <w:rFonts w:hint="eastAsia" w:ascii="宋体" w:hAnsi="宋体" w:cs="仿宋_GB2312"/>
                <w:color w:val="auto"/>
                <w:highlight w:val="none"/>
                <w:u w:val="single"/>
              </w:rPr>
              <w:t>产品说明</w:t>
            </w:r>
            <w:r>
              <w:rPr>
                <w:rFonts w:ascii="宋体" w:hAnsi="宋体" w:cs="仿宋_GB2312"/>
                <w:color w:val="auto"/>
                <w:highlight w:val="none"/>
                <w:u w:val="single"/>
              </w:rPr>
              <w:t>书</w:t>
            </w:r>
            <w:r>
              <w:rPr>
                <w:rFonts w:hint="eastAsia" w:ascii="宋体" w:hAnsi="宋体" w:cs="仿宋_GB2312"/>
                <w:color w:val="auto"/>
                <w:highlight w:val="none"/>
                <w:u w:val="single"/>
              </w:rPr>
              <w:t>要求</w:t>
            </w:r>
            <w:r>
              <w:rPr>
                <w:rFonts w:ascii="宋体" w:hAnsi="宋体" w:cs="仿宋_GB2312"/>
                <w:color w:val="auto"/>
                <w:highlight w:val="none"/>
                <w:u w:val="single"/>
              </w:rPr>
              <w:t>进行</w:t>
            </w:r>
            <w:r>
              <w:rPr>
                <w:rFonts w:hint="eastAsia" w:ascii="宋体" w:hAnsi="宋体" w:cs="仿宋_GB2312"/>
                <w:color w:val="auto"/>
                <w:highlight w:val="none"/>
                <w:u w:val="single"/>
              </w:rPr>
              <w:t>配制、</w:t>
            </w:r>
            <w:r>
              <w:rPr>
                <w:rFonts w:ascii="宋体" w:hAnsi="宋体" w:cs="仿宋_GB2312"/>
                <w:color w:val="auto"/>
                <w:highlight w:val="none"/>
                <w:u w:val="single"/>
              </w:rPr>
              <w:t>粘贴</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hint="eastAsia" w:ascii="宋体" w:hAnsi="宋体" w:cs="仿宋_GB2312"/>
                <w:color w:val="auto"/>
                <w:highlight w:val="none"/>
                <w:u w:val="single"/>
              </w:rPr>
              <w:t>6</w:t>
            </w:r>
            <w:r>
              <w:rPr>
                <w:rFonts w:ascii="宋体" w:hAnsi="宋体" w:cs="仿宋_GB2312"/>
                <w:color w:val="auto"/>
                <w:highlight w:val="none"/>
                <w:u w:val="single"/>
              </w:rPr>
              <w:t>.2.2</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抹</w:t>
            </w:r>
            <w:r>
              <w:rPr>
                <w:rFonts w:ascii="宋体" w:hAnsi="宋体" w:cs="仿宋_GB2312"/>
                <w:color w:val="auto"/>
                <w:highlight w:val="none"/>
                <w:u w:val="single"/>
              </w:rPr>
              <w:t>灰层</w:t>
            </w:r>
            <w:r>
              <w:rPr>
                <w:rFonts w:hint="eastAsia" w:ascii="宋体" w:hAnsi="宋体" w:cs="仿宋_GB2312"/>
                <w:color w:val="auto"/>
                <w:highlight w:val="none"/>
                <w:u w:val="single"/>
              </w:rPr>
              <w:t>空</w:t>
            </w:r>
            <w:r>
              <w:rPr>
                <w:rFonts w:ascii="宋体" w:hAnsi="宋体" w:cs="仿宋_GB2312"/>
                <w:color w:val="auto"/>
                <w:highlight w:val="none"/>
                <w:u w:val="single"/>
              </w:rPr>
              <w:t>鼓未</w:t>
            </w:r>
            <w:r>
              <w:rPr>
                <w:rFonts w:hint="eastAsia" w:ascii="宋体" w:hAnsi="宋体" w:cs="仿宋_GB2312"/>
                <w:color w:val="auto"/>
                <w:highlight w:val="none"/>
                <w:u w:val="single"/>
              </w:rPr>
              <w:t>经</w:t>
            </w:r>
            <w:r>
              <w:rPr>
                <w:rFonts w:ascii="宋体" w:hAnsi="宋体" w:cs="仿宋_GB2312"/>
                <w:color w:val="auto"/>
                <w:highlight w:val="none"/>
                <w:u w:val="single"/>
              </w:rPr>
              <w:t>处理</w:t>
            </w:r>
            <w:r>
              <w:rPr>
                <w:rFonts w:hint="eastAsia" w:ascii="宋体" w:hAnsi="宋体" w:cs="仿宋_GB2312"/>
                <w:color w:val="auto"/>
                <w:highlight w:val="none"/>
                <w:u w:val="single"/>
              </w:rPr>
              <w:t>即</w:t>
            </w:r>
            <w:r>
              <w:rPr>
                <w:rFonts w:ascii="宋体" w:hAnsi="宋体" w:cs="仿宋_GB2312"/>
                <w:color w:val="auto"/>
                <w:highlight w:val="none"/>
                <w:u w:val="single"/>
              </w:rPr>
              <w:t>铺贴墙砖</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hint="eastAsia" w:ascii="宋体" w:hAnsi="宋体" w:cs="仿宋_GB2312"/>
                <w:color w:val="auto"/>
                <w:highlight w:val="none"/>
                <w:u w:val="single"/>
              </w:rPr>
              <w:t>6.2.3</w:t>
            </w:r>
          </w:p>
        </w:tc>
        <w:tc>
          <w:tcPr>
            <w:tcW w:w="7517" w:type="dxa"/>
            <w:vAlign w:val="center"/>
          </w:tcPr>
          <w:p>
            <w:pPr>
              <w:rPr>
                <w:rFonts w:ascii="宋体" w:hAnsi="宋体" w:cs="仿宋_GB2312"/>
                <w:color w:val="auto"/>
                <w:highlight w:val="none"/>
                <w:u w:val="single"/>
              </w:rPr>
            </w:pPr>
            <w:r>
              <w:rPr>
                <w:rFonts w:hint="eastAsia" w:ascii="宋体" w:hAnsi="宋体" w:cs="仿宋_GB2312"/>
                <w:color w:val="auto"/>
                <w:highlight w:val="none"/>
                <w:u w:val="single"/>
              </w:rPr>
              <w:t>采用</w:t>
            </w:r>
            <w:r>
              <w:rPr>
                <w:rFonts w:ascii="宋体" w:hAnsi="宋体" w:cs="仿宋_GB2312"/>
                <w:color w:val="auto"/>
                <w:highlight w:val="none"/>
                <w:u w:val="single"/>
              </w:rPr>
              <w:t>水泥基粘结材料湿</w:t>
            </w:r>
            <w:r>
              <w:rPr>
                <w:rFonts w:hint="eastAsia" w:ascii="宋体" w:hAnsi="宋体" w:cs="仿宋_GB2312"/>
                <w:color w:val="auto"/>
                <w:highlight w:val="none"/>
                <w:u w:val="single"/>
              </w:rPr>
              <w:t>贴的</w:t>
            </w:r>
            <w:r>
              <w:rPr>
                <w:rFonts w:ascii="宋体" w:hAnsi="宋体" w:cs="仿宋_GB2312"/>
                <w:color w:val="auto"/>
                <w:highlight w:val="none"/>
                <w:u w:val="single"/>
              </w:rPr>
              <w:t>墙砖</w:t>
            </w:r>
            <w:r>
              <w:rPr>
                <w:rFonts w:hint="eastAsia" w:ascii="宋体" w:hAnsi="宋体" w:cs="仿宋_GB2312"/>
                <w:color w:val="auto"/>
                <w:highlight w:val="none"/>
                <w:u w:val="single"/>
              </w:rPr>
              <w:t>（</w:t>
            </w:r>
            <w:r>
              <w:rPr>
                <w:rFonts w:ascii="宋体" w:hAnsi="宋体" w:cs="仿宋_GB2312"/>
                <w:color w:val="auto"/>
                <w:highlight w:val="none"/>
                <w:u w:val="single"/>
              </w:rPr>
              <w:t>吸水</w:t>
            </w:r>
            <w:r>
              <w:rPr>
                <w:rFonts w:hint="eastAsia" w:ascii="宋体" w:hAnsi="宋体" w:cs="仿宋_GB2312"/>
                <w:color w:val="auto"/>
                <w:highlight w:val="none"/>
                <w:u w:val="single"/>
              </w:rPr>
              <w:t>率</w:t>
            </w:r>
            <w:r>
              <w:rPr>
                <w:rFonts w:ascii="宋体" w:hAnsi="宋体" w:cs="仿宋_GB2312"/>
                <w:color w:val="auto"/>
                <w:highlight w:val="none"/>
                <w:u w:val="single"/>
              </w:rPr>
              <w:t>E</w:t>
            </w:r>
            <w:r>
              <w:rPr>
                <w:rFonts w:hint="eastAsia" w:ascii="宋体" w:hAnsi="宋体" w:cs="仿宋_GB2312"/>
                <w:color w:val="auto"/>
                <w:highlight w:val="none"/>
                <w:u w:val="single"/>
              </w:rPr>
              <w:t>＞</w:t>
            </w:r>
            <w:r>
              <w:rPr>
                <w:rFonts w:ascii="宋体" w:hAnsi="宋体" w:cs="仿宋_GB2312"/>
                <w:color w:val="auto"/>
                <w:highlight w:val="none"/>
                <w:u w:val="single"/>
              </w:rPr>
              <w:t>0.5%</w:t>
            </w:r>
            <w:r>
              <w:rPr>
                <w:rFonts w:hint="eastAsia" w:ascii="宋体" w:hAnsi="宋体" w:cs="仿宋_GB2312"/>
                <w:color w:val="auto"/>
                <w:highlight w:val="none"/>
                <w:u w:val="single"/>
              </w:rPr>
              <w:t>）未</w:t>
            </w:r>
            <w:r>
              <w:rPr>
                <w:rFonts w:ascii="宋体" w:hAnsi="宋体" w:cs="仿宋_GB2312"/>
                <w:color w:val="auto"/>
                <w:highlight w:val="none"/>
                <w:u w:val="single"/>
              </w:rPr>
              <w:t>浸砖即铺贴</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7</w:t>
            </w:r>
          </w:p>
        </w:tc>
        <w:tc>
          <w:tcPr>
            <w:tcW w:w="7517" w:type="dxa"/>
          </w:tcPr>
          <w:p>
            <w:pPr>
              <w:jc w:val="left"/>
              <w:rPr>
                <w:rFonts w:ascii="宋体" w:hAnsi="宋体" w:cs="仿宋_GB2312"/>
                <w:b/>
                <w:color w:val="auto"/>
                <w:highlight w:val="none"/>
                <w:u w:val="single"/>
              </w:rPr>
            </w:pPr>
            <w:r>
              <w:rPr>
                <w:rFonts w:hint="eastAsia" w:ascii="宋体" w:hAnsi="宋体" w:cs="仿宋_GB2312"/>
                <w:b/>
                <w:color w:val="auto"/>
                <w:highlight w:val="none"/>
                <w:u w:val="single"/>
              </w:rPr>
              <w:t>有防</w:t>
            </w:r>
            <w:r>
              <w:rPr>
                <w:rFonts w:ascii="宋体" w:hAnsi="宋体" w:cs="仿宋_GB2312"/>
                <w:b/>
                <w:color w:val="auto"/>
                <w:highlight w:val="none"/>
                <w:u w:val="single"/>
              </w:rPr>
              <w:t>水要求的结构穿管防水</w:t>
            </w:r>
            <w:r>
              <w:rPr>
                <w:rFonts w:hint="eastAsia" w:ascii="宋体" w:hAnsi="宋体" w:cs="仿宋_GB2312"/>
                <w:b/>
                <w:color w:val="auto"/>
                <w:highlight w:val="none"/>
                <w:u w:val="single"/>
              </w:rPr>
              <w:t>做</w:t>
            </w:r>
            <w:r>
              <w:rPr>
                <w:rFonts w:ascii="宋体" w:hAnsi="宋体" w:cs="仿宋_GB2312"/>
                <w:b/>
                <w:color w:val="auto"/>
                <w:highlight w:val="none"/>
                <w:u w:val="single"/>
              </w:rPr>
              <w:t>法或管洞封堵质量不符合要求（</w:t>
            </w:r>
            <w:r>
              <w:rPr>
                <w:rFonts w:hint="eastAsia" w:ascii="宋体" w:hAnsi="宋体" w:cs="仿宋_GB2312"/>
                <w:b/>
                <w:color w:val="auto"/>
                <w:highlight w:val="none"/>
                <w:u w:val="single"/>
              </w:rPr>
              <w:t>未</w:t>
            </w:r>
            <w:r>
              <w:rPr>
                <w:rFonts w:ascii="宋体" w:hAnsi="宋体" w:cs="仿宋_GB2312"/>
                <w:b/>
                <w:color w:val="auto"/>
                <w:highlight w:val="none"/>
                <w:u w:val="single"/>
              </w:rPr>
              <w:t>使用防水套</w:t>
            </w:r>
            <w:r>
              <w:rPr>
                <w:rFonts w:hint="eastAsia" w:ascii="宋体" w:hAnsi="宋体" w:cs="仿宋_GB2312"/>
                <w:b/>
                <w:color w:val="auto"/>
                <w:highlight w:val="none"/>
                <w:u w:val="single"/>
              </w:rPr>
              <w:t>管</w:t>
            </w:r>
            <w:r>
              <w:rPr>
                <w:rFonts w:ascii="宋体" w:hAnsi="宋体" w:cs="仿宋_GB2312"/>
                <w:b/>
                <w:color w:val="auto"/>
                <w:highlight w:val="none"/>
                <w:u w:val="single"/>
              </w:rPr>
              <w:t>、套</w:t>
            </w:r>
            <w:r>
              <w:rPr>
                <w:rFonts w:hint="eastAsia" w:ascii="宋体" w:hAnsi="宋体" w:cs="仿宋_GB2312"/>
                <w:b/>
                <w:color w:val="auto"/>
                <w:highlight w:val="none"/>
                <w:u w:val="single"/>
              </w:rPr>
              <w:t>管</w:t>
            </w:r>
            <w:r>
              <w:rPr>
                <w:rFonts w:ascii="宋体" w:hAnsi="宋体" w:cs="仿宋_GB2312"/>
                <w:b/>
                <w:color w:val="auto"/>
                <w:highlight w:val="none"/>
                <w:u w:val="single"/>
              </w:rPr>
              <w:t>质量不符合要求、管洞封堵</w:t>
            </w:r>
            <w:r>
              <w:rPr>
                <w:rFonts w:hint="eastAsia" w:ascii="宋体" w:hAnsi="宋体" w:cs="仿宋_GB2312"/>
                <w:b/>
                <w:color w:val="auto"/>
                <w:highlight w:val="none"/>
                <w:u w:val="single"/>
              </w:rPr>
              <w:t>不</w:t>
            </w:r>
            <w:r>
              <w:rPr>
                <w:rFonts w:ascii="宋体" w:hAnsi="宋体" w:cs="仿宋_GB2312"/>
                <w:b/>
                <w:color w:val="auto"/>
                <w:highlight w:val="none"/>
                <w:u w:val="single"/>
              </w:rPr>
              <w:t>符合要求）</w:t>
            </w:r>
            <w:r>
              <w:rPr>
                <w:rFonts w:hint="eastAsia" w:ascii="宋体" w:hAnsi="宋体" w:cs="仿宋_GB2312"/>
                <w:b/>
                <w:color w:val="auto"/>
                <w:highlight w:val="none"/>
                <w:u w:val="single"/>
              </w:rPr>
              <w:t>，</w:t>
            </w:r>
            <w:r>
              <w:rPr>
                <w:rFonts w:ascii="宋体" w:hAnsi="宋体" w:cs="仿宋_GB2312"/>
                <w:b/>
                <w:color w:val="auto"/>
                <w:highlight w:val="none"/>
                <w:u w:val="single"/>
              </w:rPr>
              <w:t>有防水要求的外墙结构，穿墙螺杆未使用三段式止水</w:t>
            </w:r>
            <w:r>
              <w:rPr>
                <w:rFonts w:hint="eastAsia" w:ascii="宋体" w:hAnsi="宋体" w:cs="仿宋_GB2312"/>
                <w:b/>
                <w:color w:val="auto"/>
                <w:highlight w:val="none"/>
                <w:u w:val="single"/>
              </w:rPr>
              <w:t>螺</w:t>
            </w:r>
            <w:r>
              <w:rPr>
                <w:rFonts w:ascii="宋体" w:hAnsi="宋体" w:cs="仿宋_GB2312"/>
                <w:b/>
                <w:color w:val="auto"/>
                <w:highlight w:val="none"/>
                <w:u w:val="single"/>
              </w:rPr>
              <w:t>杆或螺杆孔未按要求</w:t>
            </w:r>
            <w:r>
              <w:rPr>
                <w:rFonts w:hint="eastAsia" w:ascii="宋体" w:hAnsi="宋体" w:cs="仿宋_GB2312"/>
                <w:b/>
                <w:color w:val="auto"/>
                <w:highlight w:val="none"/>
                <w:u w:val="single"/>
              </w:rPr>
              <w:t>封</w:t>
            </w:r>
            <w:r>
              <w:rPr>
                <w:rFonts w:ascii="宋体" w:hAnsi="宋体" w:cs="仿宋_GB2312"/>
                <w:b/>
                <w:color w:val="auto"/>
                <w:highlight w:val="none"/>
                <w:u w:val="single"/>
              </w:rPr>
              <w:t>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7.</w:t>
            </w:r>
            <w:r>
              <w:rPr>
                <w:rFonts w:hint="eastAsia"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ascii="宋体" w:hAnsi="宋体" w:cs="仿宋_GB2312"/>
                <w:color w:val="auto"/>
                <w:highlight w:val="none"/>
                <w:u w:val="single"/>
              </w:rPr>
              <w:t>穿越</w:t>
            </w:r>
            <w:r>
              <w:rPr>
                <w:rFonts w:hint="eastAsia" w:ascii="宋体" w:hAnsi="宋体" w:cs="仿宋_GB2312"/>
                <w:color w:val="auto"/>
                <w:highlight w:val="none"/>
                <w:u w:val="single"/>
              </w:rPr>
              <w:t>有防水</w:t>
            </w:r>
            <w:r>
              <w:rPr>
                <w:rFonts w:ascii="宋体" w:hAnsi="宋体" w:cs="仿宋_GB2312"/>
                <w:color w:val="auto"/>
                <w:highlight w:val="none"/>
                <w:u w:val="single"/>
              </w:rPr>
              <w:t>要求部位的管道</w:t>
            </w:r>
            <w:r>
              <w:rPr>
                <w:rFonts w:hint="eastAsia" w:ascii="宋体" w:hAnsi="宋体" w:cs="仿宋_GB2312"/>
                <w:color w:val="auto"/>
                <w:highlight w:val="none"/>
                <w:u w:val="single"/>
              </w:rPr>
              <w:t>，</w:t>
            </w:r>
            <w:r>
              <w:rPr>
                <w:rFonts w:ascii="宋体" w:hAnsi="宋体" w:cs="仿宋_GB2312"/>
                <w:color w:val="auto"/>
                <w:highlight w:val="none"/>
                <w:u w:val="single"/>
              </w:rPr>
              <w:t>未</w:t>
            </w:r>
            <w:r>
              <w:rPr>
                <w:rFonts w:hint="eastAsia" w:ascii="宋体" w:hAnsi="宋体" w:cs="仿宋_GB2312"/>
                <w:color w:val="auto"/>
                <w:highlight w:val="none"/>
                <w:u w:val="single"/>
              </w:rPr>
              <w:t>预</w:t>
            </w:r>
            <w:r>
              <w:rPr>
                <w:rFonts w:ascii="宋体" w:hAnsi="宋体" w:cs="仿宋_GB2312"/>
                <w:color w:val="auto"/>
                <w:highlight w:val="none"/>
                <w:u w:val="single"/>
              </w:rPr>
              <w:t>埋金属防水套</w:t>
            </w:r>
            <w:r>
              <w:rPr>
                <w:rFonts w:hint="eastAsia" w:ascii="宋体" w:hAnsi="宋体" w:cs="仿宋_GB2312"/>
                <w:color w:val="auto"/>
                <w:highlight w:val="none"/>
                <w:u w:val="single"/>
              </w:rPr>
              <w:t>管，</w:t>
            </w:r>
            <w:r>
              <w:rPr>
                <w:rFonts w:ascii="宋体" w:hAnsi="宋体" w:cs="仿宋_GB2312"/>
                <w:color w:val="auto"/>
                <w:highlight w:val="none"/>
                <w:u w:val="single"/>
              </w:rPr>
              <w:t>或预埋的套用材料的</w:t>
            </w:r>
            <w:r>
              <w:rPr>
                <w:rFonts w:hint="eastAsia" w:ascii="宋体" w:hAnsi="宋体" w:cs="仿宋_GB2312"/>
                <w:color w:val="auto"/>
                <w:highlight w:val="none"/>
                <w:u w:val="single"/>
              </w:rPr>
              <w:t>型号</w:t>
            </w:r>
            <w:r>
              <w:rPr>
                <w:rFonts w:ascii="宋体" w:hAnsi="宋体" w:cs="仿宋_GB2312"/>
                <w:color w:val="auto"/>
                <w:highlight w:val="none"/>
                <w:u w:val="single"/>
              </w:rPr>
              <w:t>、规格</w:t>
            </w:r>
            <w:r>
              <w:rPr>
                <w:rFonts w:hint="eastAsia" w:ascii="宋体" w:hAnsi="宋体" w:cs="仿宋_GB2312"/>
                <w:color w:val="auto"/>
                <w:highlight w:val="none"/>
                <w:u w:val="single"/>
              </w:rPr>
              <w:t>不</w:t>
            </w:r>
            <w:r>
              <w:rPr>
                <w:rFonts w:ascii="宋体" w:hAnsi="宋体" w:cs="仿宋_GB2312"/>
                <w:color w:val="auto"/>
                <w:highlight w:val="none"/>
                <w:u w:val="single"/>
              </w:rPr>
              <w:t>符合</w:t>
            </w:r>
            <w:r>
              <w:rPr>
                <w:rFonts w:hint="eastAsia" w:ascii="宋体" w:hAnsi="宋体" w:cs="仿宋_GB2312"/>
                <w:color w:val="auto"/>
                <w:highlight w:val="none"/>
                <w:u w:val="single"/>
              </w:rPr>
              <w:t>设计和</w:t>
            </w:r>
            <w:r>
              <w:rPr>
                <w:rFonts w:ascii="宋体" w:hAnsi="宋体" w:cs="仿宋_GB2312"/>
                <w:color w:val="auto"/>
                <w:highlight w:val="none"/>
                <w:u w:val="single"/>
              </w:rPr>
              <w:t>规范要求</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color w:val="auto"/>
                <w:highlight w:val="none"/>
                <w:u w:val="single"/>
              </w:rPr>
            </w:pPr>
            <w:r>
              <w:rPr>
                <w:rFonts w:ascii="宋体" w:hAnsi="宋体" w:cs="仿宋_GB2312"/>
                <w:color w:val="auto"/>
                <w:highlight w:val="none"/>
                <w:u w:val="single"/>
              </w:rPr>
              <w:t>7.2</w:t>
            </w:r>
          </w:p>
        </w:tc>
        <w:tc>
          <w:tcPr>
            <w:tcW w:w="7517" w:type="dxa"/>
          </w:tcPr>
          <w:p>
            <w:pPr>
              <w:rPr>
                <w:rFonts w:ascii="宋体" w:hAnsi="宋体" w:cs="仿宋_GB2312"/>
                <w:color w:val="auto"/>
                <w:highlight w:val="none"/>
                <w:u w:val="single"/>
              </w:rPr>
            </w:pPr>
            <w:r>
              <w:rPr>
                <w:rFonts w:ascii="宋体" w:hAnsi="宋体" w:cs="仿宋_GB2312"/>
                <w:color w:val="auto"/>
                <w:highlight w:val="none"/>
                <w:u w:val="single"/>
              </w:rPr>
              <w:t>有防水要求的外墙结构，穿墙螺杆未使用三段式止水</w:t>
            </w:r>
            <w:r>
              <w:rPr>
                <w:rFonts w:hint="eastAsia" w:ascii="宋体" w:hAnsi="宋体" w:cs="仿宋_GB2312"/>
                <w:color w:val="auto"/>
                <w:highlight w:val="none"/>
                <w:u w:val="single"/>
              </w:rPr>
              <w:t>螺</w:t>
            </w:r>
            <w:r>
              <w:rPr>
                <w:rFonts w:ascii="宋体" w:hAnsi="宋体" w:cs="仿宋_GB2312"/>
                <w:color w:val="auto"/>
                <w:highlight w:val="none"/>
                <w:u w:val="single"/>
              </w:rPr>
              <w:t>杆或螺杆孔未按要求</w:t>
            </w:r>
            <w:r>
              <w:rPr>
                <w:rFonts w:hint="eastAsia" w:ascii="宋体" w:hAnsi="宋体" w:cs="仿宋_GB2312"/>
                <w:color w:val="auto"/>
                <w:highlight w:val="none"/>
                <w:u w:val="single"/>
              </w:rPr>
              <w:t>封</w:t>
            </w:r>
            <w:r>
              <w:rPr>
                <w:rFonts w:ascii="宋体" w:hAnsi="宋体" w:cs="仿宋_GB2312"/>
                <w:color w:val="auto"/>
                <w:highlight w:val="none"/>
                <w:u w:val="single"/>
              </w:rPr>
              <w:t>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8</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已施工</w:t>
            </w:r>
            <w:r>
              <w:rPr>
                <w:rFonts w:ascii="宋体" w:hAnsi="宋体" w:cs="仿宋_GB2312"/>
                <w:b/>
                <w:color w:val="auto"/>
                <w:highlight w:val="none"/>
                <w:u w:val="single"/>
              </w:rPr>
              <w:t>防水</w:t>
            </w:r>
            <w:r>
              <w:rPr>
                <w:rFonts w:hint="eastAsia" w:ascii="宋体" w:hAnsi="宋体" w:cs="仿宋_GB2312"/>
                <w:b/>
                <w:color w:val="auto"/>
                <w:highlight w:val="none"/>
                <w:u w:val="single"/>
              </w:rPr>
              <w:t>层</w:t>
            </w:r>
            <w:r>
              <w:rPr>
                <w:rFonts w:ascii="宋体" w:hAnsi="宋体" w:cs="仿宋_GB2312"/>
                <w:b/>
                <w:color w:val="auto"/>
                <w:highlight w:val="none"/>
                <w:u w:val="single"/>
              </w:rPr>
              <w:t>成品保护不当或防水</w:t>
            </w:r>
            <w:r>
              <w:rPr>
                <w:rFonts w:hint="eastAsia" w:ascii="宋体" w:hAnsi="宋体" w:cs="仿宋_GB2312"/>
                <w:b/>
                <w:color w:val="auto"/>
                <w:highlight w:val="none"/>
                <w:u w:val="single"/>
              </w:rPr>
              <w:t>层</w:t>
            </w:r>
            <w:r>
              <w:rPr>
                <w:rFonts w:ascii="宋体" w:hAnsi="宋体" w:cs="仿宋_GB2312"/>
                <w:b/>
                <w:color w:val="auto"/>
                <w:highlight w:val="none"/>
                <w:u w:val="single"/>
              </w:rPr>
              <w:t>及保护层未按设计施工，交付前检查出现大面积渗漏</w:t>
            </w:r>
            <w:r>
              <w:rPr>
                <w:rFonts w:hint="eastAsia" w:ascii="宋体" w:hAnsi="宋体" w:cs="仿宋_GB2312"/>
                <w:b/>
                <w:color w:val="auto"/>
                <w:highlight w:val="none"/>
                <w:u w:val="single"/>
              </w:rPr>
              <w:t>（卫</w:t>
            </w:r>
            <w:r>
              <w:rPr>
                <w:rFonts w:ascii="宋体" w:hAnsi="宋体" w:cs="仿宋_GB2312"/>
                <w:b/>
                <w:color w:val="auto"/>
                <w:highlight w:val="none"/>
                <w:u w:val="single"/>
              </w:rPr>
              <w:t>生间、外窗、外墙、屋面、地上车库）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8.</w:t>
            </w:r>
            <w:r>
              <w:rPr>
                <w:rFonts w:hint="eastAsia" w:ascii="宋体" w:hAnsi="宋体" w:cs="仿宋_GB2312"/>
                <w:color w:val="auto"/>
                <w:highlight w:val="none"/>
                <w:u w:val="single"/>
              </w:rPr>
              <w:t>1</w:t>
            </w:r>
          </w:p>
        </w:tc>
        <w:tc>
          <w:tcPr>
            <w:tcW w:w="7517" w:type="dxa"/>
          </w:tcPr>
          <w:p>
            <w:pPr>
              <w:spacing w:line="360" w:lineRule="auto"/>
              <w:rPr>
                <w:rFonts w:ascii="宋体" w:hAnsi="宋体" w:cs="仿宋_GB2312"/>
                <w:color w:val="auto"/>
                <w:highlight w:val="none"/>
                <w:u w:val="single"/>
              </w:rPr>
            </w:pPr>
            <w:r>
              <w:rPr>
                <w:rFonts w:hint="eastAsia" w:ascii="宋体" w:hAnsi="宋体" w:cs="仿宋_GB2312"/>
                <w:color w:val="auto"/>
                <w:highlight w:val="none"/>
                <w:u w:val="single"/>
              </w:rPr>
              <w:t>现场</w:t>
            </w:r>
            <w:r>
              <w:rPr>
                <w:rFonts w:ascii="宋体" w:hAnsi="宋体" w:cs="仿宋_GB2312"/>
                <w:color w:val="auto"/>
                <w:highlight w:val="none"/>
                <w:u w:val="single"/>
              </w:rPr>
              <w:t>已施工</w:t>
            </w:r>
            <w:r>
              <w:rPr>
                <w:rFonts w:hint="eastAsia" w:ascii="宋体" w:hAnsi="宋体" w:cs="仿宋_GB2312"/>
                <w:color w:val="auto"/>
                <w:highlight w:val="none"/>
                <w:u w:val="single"/>
              </w:rPr>
              <w:t>防水层</w:t>
            </w:r>
            <w:r>
              <w:rPr>
                <w:rFonts w:ascii="宋体" w:hAnsi="宋体" w:cs="仿宋_GB2312"/>
                <w:color w:val="auto"/>
                <w:highlight w:val="none"/>
                <w:u w:val="single"/>
              </w:rPr>
              <w:t>、</w:t>
            </w:r>
            <w:r>
              <w:rPr>
                <w:rFonts w:hint="eastAsia" w:ascii="宋体" w:hAnsi="宋体" w:cs="仿宋_GB2312"/>
                <w:color w:val="auto"/>
                <w:highlight w:val="none"/>
                <w:u w:val="single"/>
              </w:rPr>
              <w:t>保护</w:t>
            </w:r>
            <w:r>
              <w:rPr>
                <w:rFonts w:ascii="宋体" w:hAnsi="宋体" w:cs="仿宋_GB2312"/>
                <w:color w:val="auto"/>
                <w:highlight w:val="none"/>
                <w:u w:val="single"/>
              </w:rPr>
              <w:t>层使用材料</w:t>
            </w:r>
            <w:r>
              <w:rPr>
                <w:rFonts w:hint="eastAsia" w:ascii="宋体" w:hAnsi="宋体" w:cs="仿宋_GB2312"/>
                <w:color w:val="auto"/>
                <w:highlight w:val="none"/>
                <w:u w:val="single"/>
              </w:rPr>
              <w:t>类型</w:t>
            </w:r>
            <w:r>
              <w:rPr>
                <w:rFonts w:ascii="宋体" w:hAnsi="宋体" w:cs="仿宋_GB2312"/>
                <w:color w:val="auto"/>
                <w:highlight w:val="none"/>
                <w:u w:val="single"/>
              </w:rPr>
              <w:t>、规格不符合设计要求</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8.</w:t>
            </w:r>
            <w:r>
              <w:rPr>
                <w:rFonts w:hint="eastAsia"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外墙</w:t>
            </w:r>
            <w:r>
              <w:rPr>
                <w:rFonts w:ascii="宋体" w:hAnsi="宋体" w:cs="仿宋_GB2312"/>
                <w:color w:val="auto"/>
                <w:highlight w:val="none"/>
                <w:u w:val="single"/>
              </w:rPr>
              <w:t>预留孔洞封堵</w:t>
            </w:r>
            <w:r>
              <w:rPr>
                <w:rFonts w:hint="eastAsia" w:ascii="宋体" w:hAnsi="宋体" w:cs="仿宋_GB2312"/>
                <w:color w:val="auto"/>
                <w:highlight w:val="none"/>
                <w:u w:val="single"/>
              </w:rPr>
              <w:t>未</w:t>
            </w:r>
            <w:r>
              <w:rPr>
                <w:rFonts w:ascii="宋体" w:hAnsi="宋体" w:cs="仿宋_GB2312"/>
                <w:color w:val="auto"/>
                <w:highlight w:val="none"/>
                <w:u w:val="single"/>
              </w:rPr>
              <w:t>按设计或专项方案要求</w:t>
            </w:r>
            <w:r>
              <w:rPr>
                <w:rFonts w:hint="eastAsia" w:ascii="宋体" w:hAnsi="宋体" w:cs="仿宋_GB2312"/>
                <w:color w:val="auto"/>
                <w:highlight w:val="none"/>
                <w:u w:val="single"/>
              </w:rPr>
              <w:t>施工的。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9</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瓷质</w:t>
            </w:r>
            <w:r>
              <w:rPr>
                <w:rFonts w:ascii="宋体" w:hAnsi="宋体" w:cs="仿宋_GB2312"/>
                <w:b/>
                <w:color w:val="auto"/>
                <w:highlight w:val="none"/>
                <w:u w:val="single"/>
              </w:rPr>
              <w:t>砖（</w:t>
            </w:r>
            <w:r>
              <w:rPr>
                <w:rFonts w:hint="eastAsia" w:ascii="宋体" w:hAnsi="宋体" w:cs="仿宋_GB2312"/>
                <w:b/>
                <w:color w:val="auto"/>
                <w:highlight w:val="none"/>
                <w:u w:val="single"/>
              </w:rPr>
              <w:t>干</w:t>
            </w:r>
            <w:r>
              <w:rPr>
                <w:rFonts w:ascii="宋体" w:hAnsi="宋体" w:cs="仿宋_GB2312"/>
                <w:b/>
                <w:color w:val="auto"/>
                <w:highlight w:val="none"/>
                <w:u w:val="single"/>
              </w:rPr>
              <w:t>压陶瓷砖，吸水</w:t>
            </w:r>
            <w:r>
              <w:rPr>
                <w:rFonts w:hint="eastAsia" w:ascii="宋体" w:hAnsi="宋体" w:cs="仿宋_GB2312"/>
                <w:b/>
                <w:color w:val="auto"/>
                <w:highlight w:val="none"/>
                <w:u w:val="single"/>
              </w:rPr>
              <w:t>率</w:t>
            </w:r>
            <w:r>
              <w:rPr>
                <w:rFonts w:ascii="宋体" w:hAnsi="宋体" w:cs="仿宋_GB2312"/>
                <w:b/>
                <w:color w:val="auto"/>
                <w:highlight w:val="none"/>
                <w:u w:val="single"/>
              </w:rPr>
              <w:t>E</w:t>
            </w:r>
            <w:r>
              <w:rPr>
                <w:rFonts w:hint="eastAsia" w:ascii="宋体" w:hAnsi="宋体" w:cs="仿宋_GB2312"/>
                <w:b/>
                <w:color w:val="auto"/>
                <w:highlight w:val="none"/>
                <w:u w:val="single"/>
              </w:rPr>
              <w:t>≤</w:t>
            </w:r>
            <w:r>
              <w:rPr>
                <w:rFonts w:ascii="宋体" w:hAnsi="宋体" w:cs="仿宋_GB2312"/>
                <w:b/>
                <w:color w:val="auto"/>
                <w:highlight w:val="none"/>
                <w:u w:val="single"/>
              </w:rPr>
              <w:t>0.5%）</w:t>
            </w:r>
            <w:r>
              <w:rPr>
                <w:rFonts w:hint="eastAsia" w:ascii="宋体" w:hAnsi="宋体" w:cs="仿宋_GB2312"/>
                <w:b/>
                <w:color w:val="auto"/>
                <w:highlight w:val="none"/>
                <w:u w:val="single"/>
              </w:rPr>
              <w:t>违规</w:t>
            </w:r>
            <w:r>
              <w:rPr>
                <w:rFonts w:ascii="宋体" w:hAnsi="宋体" w:cs="仿宋_GB2312"/>
                <w:b/>
                <w:color w:val="auto"/>
                <w:highlight w:val="none"/>
                <w:u w:val="single"/>
              </w:rPr>
              <w:t>使用水泥砂浆</w:t>
            </w:r>
            <w:r>
              <w:rPr>
                <w:rFonts w:hint="eastAsia" w:ascii="宋体" w:hAnsi="宋体" w:cs="仿宋_GB2312"/>
                <w:b/>
                <w:color w:val="auto"/>
                <w:highlight w:val="none"/>
                <w:u w:val="single"/>
              </w:rPr>
              <w:t>等</w:t>
            </w:r>
            <w:r>
              <w:rPr>
                <w:rFonts w:ascii="宋体" w:hAnsi="宋体" w:cs="仿宋_GB2312"/>
                <w:b/>
                <w:color w:val="auto"/>
                <w:highlight w:val="none"/>
                <w:u w:val="single"/>
              </w:rPr>
              <w:t>水泥基粘结材料湿</w:t>
            </w:r>
            <w:r>
              <w:rPr>
                <w:rFonts w:hint="eastAsia" w:ascii="宋体" w:hAnsi="宋体" w:cs="仿宋_GB2312"/>
                <w:b/>
                <w:color w:val="auto"/>
                <w:highlight w:val="none"/>
                <w:u w:val="single"/>
              </w:rPr>
              <w:t>贴</w:t>
            </w:r>
            <w:r>
              <w:rPr>
                <w:rFonts w:ascii="宋体" w:hAnsi="宋体" w:cs="仿宋_GB2312"/>
                <w:b/>
                <w:color w:val="auto"/>
                <w:highlight w:val="none"/>
                <w:u w:val="single"/>
              </w:rPr>
              <w:t>上墙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1</w:t>
            </w:r>
            <w:r>
              <w:rPr>
                <w:rFonts w:ascii="宋体" w:hAnsi="宋体" w:cs="仿宋_GB2312"/>
                <w:b/>
                <w:color w:val="auto"/>
                <w:highlight w:val="none"/>
                <w:u w:val="single"/>
              </w:rPr>
              <w:t>0</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栏</w:t>
            </w:r>
            <w:r>
              <w:rPr>
                <w:rFonts w:ascii="宋体" w:hAnsi="宋体" w:cs="仿宋_GB2312"/>
                <w:b/>
                <w:color w:val="auto"/>
                <w:highlight w:val="none"/>
                <w:u w:val="single"/>
              </w:rPr>
              <w:t>杆安装不符合设计及施工规范要求（</w:t>
            </w:r>
            <w:r>
              <w:rPr>
                <w:rFonts w:hint="eastAsia" w:ascii="宋体" w:hAnsi="宋体" w:cs="仿宋_GB2312"/>
                <w:b/>
                <w:color w:val="auto"/>
                <w:highlight w:val="none"/>
                <w:u w:val="single"/>
              </w:rPr>
              <w:t>栏</w:t>
            </w:r>
            <w:r>
              <w:rPr>
                <w:rFonts w:ascii="宋体" w:hAnsi="宋体" w:cs="仿宋_GB2312"/>
                <w:b/>
                <w:color w:val="auto"/>
                <w:highlight w:val="none"/>
                <w:u w:val="single"/>
              </w:rPr>
              <w:t>杆高度不符合要求、固定方式不符合要求</w:t>
            </w:r>
            <w:r>
              <w:rPr>
                <w:rFonts w:hint="eastAsia" w:ascii="宋体" w:hAnsi="宋体" w:cs="仿宋_GB2312"/>
                <w:b/>
                <w:color w:val="auto"/>
                <w:highlight w:val="none"/>
                <w:u w:val="single"/>
              </w:rPr>
              <w:t>、</w:t>
            </w:r>
            <w:r>
              <w:rPr>
                <w:rFonts w:ascii="宋体" w:hAnsi="宋体" w:cs="仿宋_GB2312"/>
                <w:b/>
                <w:color w:val="auto"/>
                <w:highlight w:val="none"/>
                <w:u w:val="single"/>
              </w:rPr>
              <w:t>焊接或螺栓施工质量不</w:t>
            </w:r>
            <w:r>
              <w:rPr>
                <w:rFonts w:hint="eastAsia" w:ascii="宋体" w:hAnsi="宋体" w:cs="仿宋_GB2312"/>
                <w:b/>
                <w:color w:val="auto"/>
                <w:highlight w:val="none"/>
                <w:u w:val="single"/>
              </w:rPr>
              <w:t>符合</w:t>
            </w:r>
            <w:r>
              <w:rPr>
                <w:rFonts w:ascii="宋体" w:hAnsi="宋体" w:cs="仿宋_GB2312"/>
                <w:b/>
                <w:color w:val="auto"/>
                <w:highlight w:val="none"/>
                <w:u w:val="single"/>
              </w:rPr>
              <w:t>要求</w:t>
            </w:r>
            <w:r>
              <w:rPr>
                <w:rFonts w:hint="eastAsia" w:ascii="宋体" w:hAnsi="宋体" w:cs="仿宋_GB2312"/>
                <w:b/>
                <w:color w:val="auto"/>
                <w:highlight w:val="none"/>
                <w:u w:val="single"/>
              </w:rPr>
              <w:t>、</w:t>
            </w:r>
            <w:r>
              <w:rPr>
                <w:rFonts w:ascii="宋体" w:hAnsi="宋体" w:cs="仿宋_GB2312"/>
                <w:b/>
                <w:color w:val="auto"/>
                <w:highlight w:val="none"/>
                <w:u w:val="single"/>
              </w:rPr>
              <w:t>安装不牢固）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10.</w:t>
            </w:r>
            <w:r>
              <w:rPr>
                <w:rFonts w:hint="eastAsia" w:ascii="宋体" w:hAnsi="宋体" w:cs="仿宋_GB2312"/>
                <w:color w:val="auto"/>
                <w:highlight w:val="none"/>
                <w:u w:val="single"/>
              </w:rPr>
              <w:t>1</w:t>
            </w:r>
          </w:p>
        </w:tc>
        <w:tc>
          <w:tcPr>
            <w:tcW w:w="7517" w:type="dxa"/>
          </w:tcPr>
          <w:p>
            <w:pPr>
              <w:spacing w:line="360" w:lineRule="auto"/>
              <w:rPr>
                <w:rFonts w:ascii="宋体" w:hAnsi="宋体" w:cs="仿宋_GB2312"/>
                <w:color w:val="auto"/>
                <w:highlight w:val="none"/>
                <w:u w:val="single"/>
              </w:rPr>
            </w:pPr>
            <w:r>
              <w:rPr>
                <w:rFonts w:hint="eastAsia" w:ascii="宋体" w:hAnsi="宋体" w:cs="仿宋_GB2312"/>
                <w:color w:val="auto"/>
                <w:highlight w:val="none"/>
                <w:u w:val="single"/>
              </w:rPr>
              <w:t>屋</w:t>
            </w:r>
            <w:r>
              <w:rPr>
                <w:rFonts w:ascii="宋体" w:hAnsi="宋体" w:cs="仿宋_GB2312"/>
                <w:color w:val="auto"/>
                <w:highlight w:val="none"/>
                <w:u w:val="single"/>
              </w:rPr>
              <w:t>面及室内</w:t>
            </w:r>
            <w:r>
              <w:rPr>
                <w:rFonts w:hint="eastAsia" w:ascii="宋体" w:hAnsi="宋体" w:cs="仿宋_GB2312"/>
                <w:color w:val="auto"/>
                <w:highlight w:val="none"/>
                <w:u w:val="single"/>
              </w:rPr>
              <w:t>栏</w:t>
            </w:r>
            <w:r>
              <w:rPr>
                <w:rFonts w:ascii="宋体" w:hAnsi="宋体" w:cs="仿宋_GB2312"/>
                <w:color w:val="auto"/>
                <w:highlight w:val="none"/>
                <w:u w:val="single"/>
              </w:rPr>
              <w:t>杆固定方式不符合设计要求</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10.</w:t>
            </w:r>
            <w:r>
              <w:rPr>
                <w:rFonts w:hint="eastAsia" w:ascii="宋体" w:hAnsi="宋体" w:cs="仿宋_GB2312"/>
                <w:color w:val="auto"/>
                <w:highlight w:val="none"/>
                <w:u w:val="single"/>
              </w:rPr>
              <w:t>2</w:t>
            </w:r>
          </w:p>
        </w:tc>
        <w:tc>
          <w:tcPr>
            <w:tcW w:w="7517" w:type="dxa"/>
          </w:tcPr>
          <w:p>
            <w:pPr>
              <w:rPr>
                <w:rFonts w:ascii="宋体" w:hAnsi="宋体" w:cs="仿宋_GB2312"/>
                <w:color w:val="auto"/>
                <w:highlight w:val="none"/>
                <w:u w:val="single"/>
              </w:rPr>
            </w:pPr>
            <w:r>
              <w:rPr>
                <w:rFonts w:ascii="宋体" w:hAnsi="宋体" w:cs="仿宋_GB2312"/>
                <w:color w:val="auto"/>
                <w:highlight w:val="none"/>
                <w:u w:val="single"/>
              </w:rPr>
              <w:t>屋面</w:t>
            </w:r>
            <w:r>
              <w:rPr>
                <w:rFonts w:hint="eastAsia" w:ascii="宋体" w:hAnsi="宋体" w:cs="仿宋_GB2312"/>
                <w:color w:val="auto"/>
                <w:highlight w:val="none"/>
                <w:u w:val="single"/>
              </w:rPr>
              <w:t>及室</w:t>
            </w:r>
            <w:r>
              <w:rPr>
                <w:rFonts w:ascii="宋体" w:hAnsi="宋体" w:cs="仿宋_GB2312"/>
                <w:color w:val="auto"/>
                <w:highlight w:val="none"/>
                <w:u w:val="single"/>
              </w:rPr>
              <w:t>内栏杆安装高度</w:t>
            </w:r>
            <w:r>
              <w:rPr>
                <w:rFonts w:hint="eastAsia" w:ascii="宋体" w:hAnsi="宋体" w:cs="仿宋_GB2312"/>
                <w:color w:val="auto"/>
                <w:highlight w:val="none"/>
                <w:u w:val="single"/>
              </w:rPr>
              <w:t>低</w:t>
            </w:r>
            <w:r>
              <w:rPr>
                <w:rFonts w:ascii="宋体" w:hAnsi="宋体" w:cs="仿宋_GB2312"/>
                <w:color w:val="auto"/>
                <w:highlight w:val="none"/>
                <w:u w:val="single"/>
              </w:rPr>
              <w:t>于</w:t>
            </w:r>
            <w:r>
              <w:rPr>
                <w:rFonts w:hint="eastAsia" w:ascii="宋体" w:hAnsi="宋体" w:cs="仿宋_GB2312"/>
                <w:color w:val="auto"/>
                <w:highlight w:val="none"/>
                <w:u w:val="single"/>
              </w:rPr>
              <w:t>1.10</w:t>
            </w:r>
            <w:r>
              <w:rPr>
                <w:rFonts w:ascii="宋体" w:hAnsi="宋体" w:cs="仿宋_GB2312"/>
                <w:color w:val="auto"/>
                <w:highlight w:val="none"/>
                <w:u w:val="single"/>
              </w:rPr>
              <w:t>m</w:t>
            </w:r>
            <w:r>
              <w:rPr>
                <w:rFonts w:hint="eastAsia" w:ascii="宋体" w:hAnsi="宋体" w:cs="仿宋_GB2312"/>
                <w:color w:val="auto"/>
                <w:highlight w:val="none"/>
                <w:u w:val="single"/>
              </w:rPr>
              <w:t>，</w:t>
            </w:r>
            <w:r>
              <w:rPr>
                <w:rFonts w:ascii="宋体" w:hAnsi="宋体" w:cs="仿宋_GB2312"/>
                <w:color w:val="auto"/>
                <w:highlight w:val="none"/>
                <w:u w:val="single"/>
              </w:rPr>
              <w:t>栏杆</w:t>
            </w:r>
            <w:r>
              <w:rPr>
                <w:rFonts w:hint="eastAsia" w:ascii="宋体" w:hAnsi="宋体" w:cs="仿宋_GB2312"/>
                <w:color w:val="auto"/>
                <w:highlight w:val="none"/>
                <w:u w:val="single"/>
              </w:rPr>
              <w:t>杆</w:t>
            </w:r>
            <w:r>
              <w:rPr>
                <w:rFonts w:ascii="宋体" w:hAnsi="宋体" w:cs="仿宋_GB2312"/>
                <w:color w:val="auto"/>
                <w:highlight w:val="none"/>
                <w:u w:val="single"/>
              </w:rPr>
              <w:t>件净距不大于</w:t>
            </w:r>
            <w:r>
              <w:rPr>
                <w:rFonts w:hint="eastAsia" w:ascii="宋体" w:hAnsi="宋体" w:cs="仿宋_GB2312"/>
                <w:color w:val="auto"/>
                <w:highlight w:val="none"/>
                <w:u w:val="single"/>
              </w:rPr>
              <w:t>0.11m。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10.</w:t>
            </w:r>
            <w:r>
              <w:rPr>
                <w:rFonts w:hint="eastAsia" w:ascii="宋体" w:hAnsi="宋体" w:cs="仿宋_GB2312"/>
                <w:color w:val="auto"/>
                <w:highlight w:val="none"/>
                <w:u w:val="single"/>
              </w:rPr>
              <w:t>3</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栏</w:t>
            </w:r>
            <w:r>
              <w:rPr>
                <w:rFonts w:ascii="宋体" w:hAnsi="宋体" w:cs="仿宋_GB2312"/>
                <w:color w:val="auto"/>
                <w:highlight w:val="none"/>
                <w:u w:val="single"/>
              </w:rPr>
              <w:t>杆</w:t>
            </w:r>
            <w:r>
              <w:rPr>
                <w:rFonts w:hint="eastAsia" w:ascii="宋体" w:hAnsi="宋体" w:cs="仿宋_GB2312"/>
                <w:color w:val="auto"/>
                <w:highlight w:val="none"/>
                <w:u w:val="single"/>
              </w:rPr>
              <w:t>固定</w:t>
            </w:r>
            <w:r>
              <w:rPr>
                <w:rFonts w:ascii="宋体" w:hAnsi="宋体" w:cs="仿宋_GB2312"/>
                <w:color w:val="auto"/>
                <w:highlight w:val="none"/>
                <w:u w:val="single"/>
              </w:rPr>
              <w:t>端</w:t>
            </w:r>
            <w:r>
              <w:rPr>
                <w:rFonts w:hint="eastAsia" w:ascii="宋体" w:hAnsi="宋体" w:cs="仿宋_GB2312"/>
                <w:color w:val="auto"/>
                <w:highlight w:val="none"/>
                <w:u w:val="single"/>
              </w:rPr>
              <w:t>焊接出现</w:t>
            </w:r>
            <w:r>
              <w:rPr>
                <w:rFonts w:ascii="宋体" w:hAnsi="宋体" w:cs="仿宋_GB2312"/>
                <w:color w:val="auto"/>
                <w:highlight w:val="none"/>
                <w:u w:val="single"/>
              </w:rPr>
              <w:t>缺</w:t>
            </w:r>
            <w:r>
              <w:rPr>
                <w:rFonts w:hint="eastAsia" w:ascii="宋体" w:hAnsi="宋体" w:cs="仿宋_GB2312"/>
                <w:color w:val="auto"/>
                <w:highlight w:val="none"/>
                <w:u w:val="single"/>
              </w:rPr>
              <w:t>漏</w:t>
            </w:r>
            <w:r>
              <w:rPr>
                <w:rFonts w:ascii="宋体" w:hAnsi="宋体" w:cs="仿宋_GB2312"/>
                <w:color w:val="auto"/>
                <w:highlight w:val="none"/>
                <w:u w:val="single"/>
              </w:rPr>
              <w:t>焊</w:t>
            </w:r>
            <w:r>
              <w:rPr>
                <w:rFonts w:hint="eastAsia" w:ascii="宋体" w:hAnsi="宋体" w:cs="仿宋_GB2312"/>
                <w:color w:val="auto"/>
                <w:highlight w:val="none"/>
                <w:u w:val="single"/>
              </w:rPr>
              <w:t>、</w:t>
            </w:r>
            <w:r>
              <w:rPr>
                <w:rFonts w:ascii="宋体" w:hAnsi="宋体" w:cs="仿宋_GB2312"/>
                <w:color w:val="auto"/>
                <w:highlight w:val="none"/>
                <w:u w:val="single"/>
              </w:rPr>
              <w:t>烧伤</w:t>
            </w:r>
            <w:r>
              <w:rPr>
                <w:rFonts w:hint="eastAsia" w:ascii="宋体" w:hAnsi="宋体" w:cs="仿宋_GB2312"/>
                <w:color w:val="auto"/>
                <w:highlight w:val="none"/>
                <w:u w:val="single"/>
              </w:rPr>
              <w:t>等</w:t>
            </w:r>
            <w:r>
              <w:rPr>
                <w:rFonts w:ascii="宋体" w:hAnsi="宋体" w:cs="仿宋_GB2312"/>
                <w:color w:val="auto"/>
                <w:highlight w:val="none"/>
                <w:u w:val="single"/>
              </w:rPr>
              <w:t>质</w:t>
            </w:r>
            <w:r>
              <w:rPr>
                <w:rFonts w:hint="eastAsia" w:ascii="宋体" w:hAnsi="宋体" w:cs="仿宋_GB2312"/>
                <w:color w:val="auto"/>
                <w:highlight w:val="none"/>
                <w:u w:val="single"/>
              </w:rPr>
              <w:t>量隐患</w:t>
            </w:r>
            <w:r>
              <w:rPr>
                <w:rFonts w:ascii="宋体" w:hAnsi="宋体" w:cs="仿宋_GB2312"/>
                <w:color w:val="auto"/>
                <w:highlight w:val="none"/>
                <w:u w:val="single"/>
              </w:rPr>
              <w:t>或螺栓</w:t>
            </w:r>
            <w:r>
              <w:rPr>
                <w:rFonts w:hint="eastAsia" w:ascii="宋体" w:hAnsi="宋体" w:cs="仿宋_GB2312"/>
                <w:color w:val="auto"/>
                <w:highlight w:val="none"/>
                <w:u w:val="single"/>
              </w:rPr>
              <w:t>连接规格、深度</w:t>
            </w:r>
            <w:r>
              <w:rPr>
                <w:rFonts w:ascii="宋体" w:hAnsi="宋体" w:cs="仿宋_GB2312"/>
                <w:color w:val="auto"/>
                <w:highlight w:val="none"/>
                <w:u w:val="single"/>
              </w:rPr>
              <w:t>、</w:t>
            </w:r>
            <w:r>
              <w:rPr>
                <w:rFonts w:hint="eastAsia" w:ascii="宋体" w:hAnsi="宋体" w:cs="仿宋_GB2312"/>
                <w:color w:val="auto"/>
                <w:highlight w:val="none"/>
                <w:u w:val="single"/>
              </w:rPr>
              <w:t>数量等不</w:t>
            </w:r>
            <w:r>
              <w:rPr>
                <w:rFonts w:ascii="宋体" w:hAnsi="宋体" w:cs="仿宋_GB2312"/>
                <w:color w:val="auto"/>
                <w:highlight w:val="none"/>
                <w:u w:val="single"/>
              </w:rPr>
              <w:t>符合</w:t>
            </w:r>
            <w:r>
              <w:rPr>
                <w:rFonts w:hint="eastAsia" w:ascii="宋体" w:hAnsi="宋体" w:cs="仿宋_GB2312"/>
                <w:color w:val="auto"/>
                <w:highlight w:val="none"/>
                <w:u w:val="single"/>
              </w:rPr>
              <w:t>要求的</w:t>
            </w:r>
            <w:r>
              <w:rPr>
                <w:rFonts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1</w:t>
            </w:r>
            <w:r>
              <w:rPr>
                <w:rFonts w:ascii="宋体" w:hAnsi="宋体" w:cs="仿宋_GB2312"/>
                <w:b/>
                <w:color w:val="auto"/>
                <w:highlight w:val="none"/>
                <w:u w:val="single"/>
              </w:rPr>
              <w:t>1</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违规使用非</w:t>
            </w:r>
            <w:r>
              <w:rPr>
                <w:rFonts w:ascii="宋体" w:hAnsi="宋体" w:cs="仿宋_GB2312"/>
                <w:b/>
                <w:color w:val="auto"/>
                <w:highlight w:val="none"/>
                <w:u w:val="single"/>
              </w:rPr>
              <w:t>合同指定品牌的材料</w:t>
            </w:r>
            <w:r>
              <w:rPr>
                <w:rFonts w:hint="eastAsia" w:ascii="宋体" w:hAnsi="宋体" w:cs="仿宋_GB2312"/>
                <w:b/>
                <w:color w:val="auto"/>
                <w:highlight w:val="none"/>
                <w:u w:val="single"/>
              </w:rPr>
              <w:t>或</w:t>
            </w:r>
            <w:r>
              <w:rPr>
                <w:rFonts w:ascii="宋体" w:hAnsi="宋体" w:cs="仿宋_GB2312"/>
                <w:b/>
                <w:color w:val="auto"/>
                <w:highlight w:val="none"/>
                <w:u w:val="single"/>
              </w:rPr>
              <w:t>未经</w:t>
            </w:r>
            <w:r>
              <w:rPr>
                <w:rFonts w:hint="eastAsia" w:ascii="宋体" w:hAnsi="宋体" w:cs="仿宋_GB2312"/>
                <w:b/>
                <w:color w:val="auto"/>
                <w:highlight w:val="none"/>
                <w:u w:val="single"/>
              </w:rPr>
              <w:t>发包人</w:t>
            </w:r>
            <w:r>
              <w:rPr>
                <w:rFonts w:ascii="宋体" w:hAnsi="宋体" w:cs="仿宋_GB2312"/>
                <w:b/>
                <w:color w:val="auto"/>
                <w:highlight w:val="none"/>
                <w:u w:val="single"/>
              </w:rPr>
              <w:t>书面同意使用</w:t>
            </w:r>
            <w:r>
              <w:rPr>
                <w:rFonts w:hint="eastAsia" w:ascii="宋体" w:hAnsi="宋体" w:cs="仿宋_GB2312"/>
                <w:b/>
                <w:color w:val="auto"/>
                <w:highlight w:val="none"/>
                <w:u w:val="single"/>
              </w:rPr>
              <w:t>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1</w:t>
            </w:r>
            <w:r>
              <w:rPr>
                <w:rFonts w:ascii="宋体" w:hAnsi="宋体" w:cs="仿宋_GB2312"/>
                <w:b/>
                <w:color w:val="auto"/>
                <w:highlight w:val="none"/>
                <w:u w:val="single"/>
              </w:rPr>
              <w:t>2</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现场所用</w:t>
            </w:r>
            <w:r>
              <w:rPr>
                <w:rFonts w:ascii="宋体" w:hAnsi="宋体" w:cs="仿宋_GB2312"/>
                <w:b/>
                <w:color w:val="auto"/>
                <w:highlight w:val="none"/>
                <w:u w:val="single"/>
              </w:rPr>
              <w:t>砌块、水泥、砂、</w:t>
            </w:r>
            <w:r>
              <w:rPr>
                <w:rFonts w:hint="eastAsia" w:ascii="宋体" w:hAnsi="宋体" w:cs="仿宋_GB2312"/>
                <w:b/>
                <w:color w:val="auto"/>
                <w:highlight w:val="none"/>
                <w:u w:val="single"/>
              </w:rPr>
              <w:t>石</w:t>
            </w:r>
            <w:r>
              <w:rPr>
                <w:rFonts w:ascii="宋体" w:hAnsi="宋体" w:cs="仿宋_GB2312"/>
                <w:b/>
                <w:color w:val="auto"/>
                <w:highlight w:val="none"/>
                <w:u w:val="single"/>
              </w:rPr>
              <w:t>等材料未经检验合格而违规使用的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12.</w:t>
            </w:r>
            <w:r>
              <w:rPr>
                <w:rFonts w:hint="eastAsia" w:ascii="宋体" w:hAnsi="宋体" w:cs="仿宋_GB2312"/>
                <w:color w:val="auto"/>
                <w:highlight w:val="none"/>
                <w:u w:val="single"/>
              </w:rPr>
              <w:t>1</w:t>
            </w:r>
          </w:p>
        </w:tc>
        <w:tc>
          <w:tcPr>
            <w:tcW w:w="7517" w:type="dxa"/>
          </w:tcPr>
          <w:p>
            <w:pPr>
              <w:rPr>
                <w:rFonts w:ascii="宋体" w:hAnsi="宋体" w:cs="仿宋_GB2312"/>
                <w:color w:val="auto"/>
                <w:highlight w:val="none"/>
                <w:u w:val="single"/>
              </w:rPr>
            </w:pPr>
            <w:r>
              <w:rPr>
                <w:rFonts w:hint="eastAsia" w:ascii="宋体" w:hAnsi="宋体" w:cs="仿宋_GB2312"/>
                <w:color w:val="auto"/>
                <w:highlight w:val="none"/>
                <w:u w:val="single"/>
              </w:rPr>
              <w:t>现场</w:t>
            </w:r>
            <w:r>
              <w:rPr>
                <w:rFonts w:ascii="宋体" w:hAnsi="宋体" w:cs="仿宋_GB2312"/>
                <w:color w:val="auto"/>
                <w:highlight w:val="none"/>
                <w:u w:val="single"/>
              </w:rPr>
              <w:t>所用</w:t>
            </w:r>
            <w:r>
              <w:rPr>
                <w:rFonts w:hint="eastAsia" w:ascii="宋体" w:hAnsi="宋体" w:cs="仿宋_GB2312"/>
                <w:color w:val="auto"/>
                <w:highlight w:val="none"/>
                <w:u w:val="single"/>
              </w:rPr>
              <w:t>建筑材料</w:t>
            </w:r>
            <w:r>
              <w:rPr>
                <w:rFonts w:ascii="宋体" w:hAnsi="宋体" w:cs="仿宋_GB2312"/>
                <w:color w:val="auto"/>
                <w:highlight w:val="none"/>
                <w:u w:val="single"/>
              </w:rPr>
              <w:t>合格</w:t>
            </w:r>
            <w:r>
              <w:rPr>
                <w:rFonts w:hint="eastAsia" w:ascii="宋体" w:hAnsi="宋体" w:cs="仿宋_GB2312"/>
                <w:color w:val="auto"/>
                <w:highlight w:val="none"/>
                <w:u w:val="single"/>
              </w:rPr>
              <w:t>证</w:t>
            </w:r>
            <w:r>
              <w:rPr>
                <w:rFonts w:ascii="宋体" w:hAnsi="宋体" w:cs="仿宋_GB2312"/>
                <w:color w:val="auto"/>
                <w:highlight w:val="none"/>
                <w:u w:val="single"/>
              </w:rPr>
              <w:t>明文件</w:t>
            </w:r>
            <w:r>
              <w:rPr>
                <w:rFonts w:hint="eastAsia" w:ascii="宋体" w:hAnsi="宋体" w:cs="仿宋_GB2312"/>
                <w:color w:val="auto"/>
                <w:highlight w:val="none"/>
                <w:u w:val="single"/>
              </w:rPr>
              <w:t>中代表</w:t>
            </w:r>
            <w:r>
              <w:rPr>
                <w:rFonts w:ascii="宋体" w:hAnsi="宋体" w:cs="仿宋_GB2312"/>
                <w:color w:val="auto"/>
                <w:highlight w:val="none"/>
                <w:u w:val="single"/>
              </w:rPr>
              <w:t>指标（</w:t>
            </w:r>
            <w:r>
              <w:rPr>
                <w:rFonts w:hint="eastAsia" w:ascii="宋体" w:hAnsi="宋体" w:cs="仿宋_GB2312"/>
                <w:color w:val="auto"/>
                <w:highlight w:val="none"/>
                <w:u w:val="single"/>
              </w:rPr>
              <w:t>型号</w:t>
            </w:r>
            <w:r>
              <w:rPr>
                <w:rFonts w:ascii="宋体" w:hAnsi="宋体" w:cs="仿宋_GB2312"/>
                <w:color w:val="auto"/>
                <w:highlight w:val="none"/>
                <w:u w:val="single"/>
              </w:rPr>
              <w:t>、</w:t>
            </w:r>
            <w:r>
              <w:rPr>
                <w:rFonts w:hint="eastAsia" w:ascii="宋体" w:hAnsi="宋体" w:cs="仿宋_GB2312"/>
                <w:color w:val="auto"/>
                <w:highlight w:val="none"/>
                <w:u w:val="single"/>
              </w:rPr>
              <w:t>规格、</w:t>
            </w:r>
            <w:r>
              <w:rPr>
                <w:rFonts w:ascii="宋体" w:hAnsi="宋体" w:cs="仿宋_GB2312"/>
                <w:color w:val="auto"/>
                <w:highlight w:val="none"/>
                <w:u w:val="single"/>
              </w:rPr>
              <w:t>复检型号）</w:t>
            </w:r>
            <w:r>
              <w:rPr>
                <w:rFonts w:hint="eastAsia" w:ascii="宋体" w:hAnsi="宋体" w:cs="仿宋_GB2312"/>
                <w:color w:val="auto"/>
                <w:highlight w:val="none"/>
                <w:u w:val="single"/>
              </w:rPr>
              <w:t>与</w:t>
            </w:r>
            <w:r>
              <w:rPr>
                <w:rFonts w:ascii="宋体" w:hAnsi="宋体" w:cs="仿宋_GB2312"/>
                <w:color w:val="auto"/>
                <w:highlight w:val="none"/>
                <w:u w:val="single"/>
              </w:rPr>
              <w:t>现场使用</w:t>
            </w:r>
            <w:r>
              <w:rPr>
                <w:rFonts w:hint="eastAsia" w:ascii="宋体" w:hAnsi="宋体" w:cs="仿宋_GB2312"/>
                <w:color w:val="auto"/>
                <w:highlight w:val="none"/>
                <w:u w:val="single"/>
              </w:rPr>
              <w:t>不符</w:t>
            </w:r>
            <w:r>
              <w:rPr>
                <w:rFonts w:ascii="宋体" w:hAnsi="宋体" w:cs="仿宋_GB2312"/>
                <w:color w:val="auto"/>
                <w:highlight w:val="none"/>
                <w:u w:val="single"/>
              </w:rPr>
              <w:t>，项目部未及时发现。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color w:val="auto"/>
                <w:highlight w:val="none"/>
                <w:u w:val="single"/>
              </w:rPr>
            </w:pPr>
            <w:r>
              <w:rPr>
                <w:rFonts w:ascii="宋体" w:hAnsi="宋体" w:cs="仿宋_GB2312"/>
                <w:color w:val="auto"/>
                <w:highlight w:val="none"/>
                <w:u w:val="single"/>
              </w:rPr>
              <w:t>12.</w:t>
            </w:r>
            <w:r>
              <w:rPr>
                <w:rFonts w:hint="eastAsia" w:ascii="宋体" w:hAnsi="宋体" w:cs="仿宋_GB2312"/>
                <w:color w:val="auto"/>
                <w:highlight w:val="none"/>
                <w:u w:val="single"/>
              </w:rPr>
              <w:t>2</w:t>
            </w:r>
          </w:p>
        </w:tc>
        <w:tc>
          <w:tcPr>
            <w:tcW w:w="7517" w:type="dxa"/>
          </w:tcPr>
          <w:p>
            <w:pPr>
              <w:spacing w:line="360" w:lineRule="auto"/>
              <w:rPr>
                <w:rFonts w:ascii="宋体" w:hAnsi="宋体" w:cs="仿宋_GB2312"/>
                <w:color w:val="auto"/>
                <w:highlight w:val="none"/>
                <w:u w:val="single"/>
              </w:rPr>
            </w:pPr>
            <w:r>
              <w:rPr>
                <w:rFonts w:hint="eastAsia" w:ascii="宋体" w:hAnsi="宋体" w:cs="仿宋_GB2312"/>
                <w:color w:val="auto"/>
                <w:highlight w:val="none"/>
                <w:u w:val="single"/>
              </w:rPr>
              <w:t>现场</w:t>
            </w:r>
            <w:r>
              <w:rPr>
                <w:rFonts w:ascii="宋体" w:hAnsi="宋体" w:cs="仿宋_GB2312"/>
                <w:color w:val="auto"/>
                <w:highlight w:val="none"/>
                <w:u w:val="single"/>
              </w:rPr>
              <w:t>所用</w:t>
            </w:r>
            <w:r>
              <w:rPr>
                <w:rFonts w:hint="eastAsia" w:ascii="宋体" w:hAnsi="宋体" w:cs="仿宋_GB2312"/>
                <w:color w:val="auto"/>
                <w:highlight w:val="none"/>
                <w:u w:val="single"/>
              </w:rPr>
              <w:t>建筑材料未</w:t>
            </w:r>
            <w:r>
              <w:rPr>
                <w:rFonts w:ascii="宋体" w:hAnsi="宋体" w:cs="仿宋_GB2312"/>
                <w:color w:val="auto"/>
                <w:highlight w:val="none"/>
                <w:u w:val="single"/>
              </w:rPr>
              <w:t>经检验合格而违规使用</w:t>
            </w:r>
            <w:r>
              <w:rPr>
                <w:rFonts w:hint="eastAsia" w:ascii="宋体" w:hAnsi="宋体" w:cs="仿宋_GB2312"/>
                <w:color w:val="auto"/>
                <w:highlight w:val="none"/>
                <w:u w:val="singl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jc w:val="center"/>
              <w:rPr>
                <w:rFonts w:ascii="宋体" w:hAnsi="宋体" w:cs="仿宋_GB2312"/>
                <w:b/>
                <w:color w:val="auto"/>
                <w:highlight w:val="none"/>
                <w:u w:val="single"/>
              </w:rPr>
            </w:pPr>
            <w:r>
              <w:rPr>
                <w:rFonts w:hint="eastAsia" w:ascii="宋体" w:hAnsi="宋体" w:cs="仿宋_GB2312"/>
                <w:b/>
                <w:color w:val="auto"/>
                <w:highlight w:val="none"/>
                <w:u w:val="single"/>
              </w:rPr>
              <w:t>1</w:t>
            </w:r>
            <w:r>
              <w:rPr>
                <w:rFonts w:ascii="宋体" w:hAnsi="宋体" w:cs="仿宋_GB2312"/>
                <w:b/>
                <w:color w:val="auto"/>
                <w:highlight w:val="none"/>
                <w:u w:val="single"/>
              </w:rPr>
              <w:t>3</w:t>
            </w:r>
          </w:p>
        </w:tc>
        <w:tc>
          <w:tcPr>
            <w:tcW w:w="7517" w:type="dxa"/>
          </w:tcPr>
          <w:p>
            <w:pPr>
              <w:rPr>
                <w:rFonts w:ascii="宋体" w:hAnsi="宋体" w:cs="仿宋_GB2312"/>
                <w:b/>
                <w:color w:val="auto"/>
                <w:highlight w:val="none"/>
                <w:u w:val="single"/>
              </w:rPr>
            </w:pPr>
            <w:r>
              <w:rPr>
                <w:rFonts w:hint="eastAsia" w:ascii="宋体" w:hAnsi="宋体" w:cs="仿宋_GB2312"/>
                <w:b/>
                <w:color w:val="auto"/>
                <w:highlight w:val="none"/>
                <w:u w:val="single"/>
              </w:rPr>
              <w:t>铝合</w:t>
            </w:r>
            <w:r>
              <w:rPr>
                <w:rFonts w:ascii="宋体" w:hAnsi="宋体" w:cs="仿宋_GB2312"/>
                <w:b/>
                <w:color w:val="auto"/>
                <w:highlight w:val="none"/>
                <w:u w:val="single"/>
              </w:rPr>
              <w:t>金门窗型材保护性喷涂厚度不符合设计要求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vAlign w:val="center"/>
          </w:tcPr>
          <w:p>
            <w:pPr>
              <w:spacing w:line="360" w:lineRule="auto"/>
              <w:jc w:val="center"/>
              <w:rPr>
                <w:rFonts w:ascii="宋体" w:hAnsi="宋体" w:cs="仿宋_GB2312"/>
                <w:b/>
                <w:color w:val="auto"/>
                <w:highlight w:val="none"/>
                <w:u w:val="single"/>
              </w:rPr>
            </w:pPr>
            <w:r>
              <w:rPr>
                <w:rFonts w:hint="eastAsia" w:ascii="宋体" w:hAnsi="宋体" w:cs="仿宋_GB2312"/>
                <w:b/>
                <w:color w:val="auto"/>
                <w:highlight w:val="none"/>
                <w:u w:val="single"/>
              </w:rPr>
              <w:t>1</w:t>
            </w:r>
            <w:r>
              <w:rPr>
                <w:rFonts w:ascii="宋体" w:hAnsi="宋体" w:cs="仿宋_GB2312"/>
                <w:b/>
                <w:color w:val="auto"/>
                <w:highlight w:val="none"/>
                <w:u w:val="single"/>
              </w:rPr>
              <w:t>4</w:t>
            </w:r>
          </w:p>
        </w:tc>
        <w:tc>
          <w:tcPr>
            <w:tcW w:w="7517" w:type="dxa"/>
          </w:tcPr>
          <w:p>
            <w:pPr>
              <w:spacing w:line="360" w:lineRule="auto"/>
              <w:rPr>
                <w:rFonts w:ascii="宋体" w:hAnsi="宋体" w:cs="仿宋_GB2312"/>
                <w:b/>
                <w:color w:val="auto"/>
                <w:highlight w:val="none"/>
                <w:u w:val="single"/>
              </w:rPr>
            </w:pPr>
            <w:r>
              <w:rPr>
                <w:rFonts w:hint="eastAsia" w:ascii="宋体" w:hAnsi="宋体" w:cs="仿宋_GB2312"/>
                <w:b/>
                <w:color w:val="auto"/>
                <w:highlight w:val="none"/>
                <w:u w:val="single"/>
              </w:rPr>
              <w:t>违规</w:t>
            </w:r>
            <w:r>
              <w:rPr>
                <w:rFonts w:ascii="宋体" w:hAnsi="宋体" w:cs="仿宋_GB2312"/>
                <w:b/>
                <w:color w:val="auto"/>
                <w:highlight w:val="none"/>
                <w:u w:val="single"/>
              </w:rPr>
              <w:t>使用防火等级</w:t>
            </w:r>
            <w:r>
              <w:rPr>
                <w:rFonts w:hint="eastAsia" w:ascii="宋体" w:hAnsi="宋体" w:cs="仿宋_GB2312"/>
                <w:b/>
                <w:color w:val="auto"/>
                <w:highlight w:val="none"/>
                <w:u w:val="single"/>
              </w:rPr>
              <w:t>不</w:t>
            </w:r>
            <w:r>
              <w:rPr>
                <w:rFonts w:ascii="宋体" w:hAnsi="宋体" w:cs="仿宋_GB2312"/>
                <w:b/>
                <w:color w:val="auto"/>
                <w:highlight w:val="none"/>
                <w:u w:val="single"/>
              </w:rPr>
              <w:t>满足设计要求的材料</w:t>
            </w:r>
          </w:p>
        </w:tc>
      </w:tr>
    </w:tbl>
    <w:p>
      <w:pPr>
        <w:spacing w:line="360" w:lineRule="auto"/>
        <w:ind w:firstLine="422" w:firstLineChars="200"/>
        <w:rPr>
          <w:rFonts w:ascii="宋体" w:hAnsi="宋体" w:cs="FangSong,Bold"/>
          <w:b/>
          <w:bCs/>
          <w:color w:val="auto"/>
          <w:kern w:val="0"/>
          <w:szCs w:val="21"/>
          <w:highlight w:val="none"/>
          <w:u w:val="single"/>
        </w:rPr>
      </w:pP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总包应加强现场施工质量控制，结构工程质量要求符合国家规范要求。</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宋体"/>
          <w:color w:val="auto"/>
          <w:highlight w:val="none"/>
        </w:rPr>
        <w:t>项目第三方过程质量评估综合得分承包人标段不低于参评当年越秀地产工程评分要求基准值，且不低于越秀地产前1</w:t>
      </w:r>
      <w:r>
        <w:rPr>
          <w:rFonts w:ascii="宋体" w:hAnsi="宋体" w:cs="宋体"/>
          <w:color w:val="auto"/>
          <w:highlight w:val="none"/>
        </w:rPr>
        <w:t>0</w:t>
      </w:r>
      <w:r>
        <w:rPr>
          <w:rFonts w:hint="eastAsia" w:ascii="宋体" w:hAnsi="宋体" w:cs="宋体"/>
          <w:color w:val="auto"/>
          <w:highlight w:val="none"/>
        </w:rPr>
        <w:t>%排名，符合《越秀地产工程管理技术文件汇编》中的相关要求，后期若有调整，按照最新要求标准执行</w:t>
      </w:r>
      <w:r>
        <w:rPr>
          <w:rFonts w:ascii="宋体" w:hAnsi="宋体" w:cs="仿宋"/>
          <w:bCs/>
          <w:color w:val="auto"/>
          <w:kern w:val="0"/>
          <w:szCs w:val="21"/>
          <w:highlight w:val="none"/>
        </w:rPr>
        <w:t>。</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所有施工工序必须先做施工样板，经发包人、监理、总包联合验收满足要求后方可根据样板做法大面积开展，发包人、监理根据样板验收。</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施工材料必须书面报样经发包人批准方可投入使用，包括但不仅限于以下内容：钢筋、砼、水泥、模板、钢管、止水钢板、外架安全网、钢筋网片、内外墙钢丝网、砌体材料、外加剂、烟道及风帽、伸缩缝铝板、防水材料、屋面保温材料、内外墙乳胶漆、栏杆或护栏、所有饰面材料等。</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从地下室施工阶段开始，总包就需要做好控制工程质量的各项措施，并做好各项验收工作。要求必须按以下要求做法进行施工，但不仅限于以下内容：</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1</w:t>
      </w:r>
      <w:r>
        <w:rPr>
          <w:rFonts w:hint="eastAsia" w:ascii="宋体" w:hAnsi="宋体" w:cs="仿宋"/>
          <w:bCs/>
          <w:color w:val="auto"/>
          <w:kern w:val="0"/>
          <w:szCs w:val="21"/>
          <w:highlight w:val="none"/>
        </w:rPr>
        <w:t>）承台必须用灰砂砖砌筑砖胎膜，高度至底板垫层底，厚度满足下表要求：</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承台高度（</w:t>
      </w:r>
      <w:r>
        <w:rPr>
          <w:rFonts w:ascii="宋体" w:hAnsi="宋体" w:cs="仿宋"/>
          <w:bCs/>
          <w:color w:val="auto"/>
          <w:kern w:val="0"/>
          <w:szCs w:val="21"/>
          <w:highlight w:val="none"/>
        </w:rPr>
        <w:t>h</w:t>
      </w:r>
      <w:r>
        <w:rPr>
          <w:rFonts w:hint="eastAsia" w:ascii="宋体" w:hAnsi="宋体" w:cs="仿宋"/>
          <w:bCs/>
          <w:color w:val="auto"/>
          <w:kern w:val="0"/>
          <w:szCs w:val="21"/>
          <w:highlight w:val="none"/>
        </w:rPr>
        <w:t>）砖胎膜墙厚</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仿宋"/>
          <w:bCs/>
          <w:color w:val="auto"/>
          <w:kern w:val="0"/>
          <w:szCs w:val="21"/>
          <w:highlight w:val="none"/>
        </w:rPr>
        <w:t>h</w:t>
      </w:r>
      <w:r>
        <w:rPr>
          <w:rFonts w:hint="eastAsia" w:ascii="宋体" w:hAnsi="宋体" w:cs="仿宋"/>
          <w:bCs/>
          <w:color w:val="auto"/>
          <w:kern w:val="0"/>
          <w:szCs w:val="21"/>
          <w:highlight w:val="none"/>
        </w:rPr>
        <w:t>≤</w:t>
      </w:r>
      <w:r>
        <w:rPr>
          <w:rFonts w:ascii="宋体" w:hAnsi="宋体" w:cs="仿宋"/>
          <w:bCs/>
          <w:color w:val="auto"/>
          <w:kern w:val="0"/>
          <w:szCs w:val="21"/>
          <w:highlight w:val="none"/>
        </w:rPr>
        <w:t>600 120</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仿宋"/>
          <w:bCs/>
          <w:color w:val="auto"/>
          <w:kern w:val="0"/>
          <w:szCs w:val="21"/>
          <w:highlight w:val="none"/>
        </w:rPr>
        <w:t>600</w:t>
      </w:r>
      <w:r>
        <w:rPr>
          <w:rFonts w:hint="eastAsia" w:ascii="宋体" w:hAnsi="宋体" w:cs="仿宋"/>
          <w:bCs/>
          <w:color w:val="auto"/>
          <w:kern w:val="0"/>
          <w:szCs w:val="21"/>
          <w:highlight w:val="none"/>
        </w:rPr>
        <w:t>＜</w:t>
      </w:r>
      <w:r>
        <w:rPr>
          <w:rFonts w:ascii="宋体" w:hAnsi="宋体" w:cs="仿宋"/>
          <w:bCs/>
          <w:color w:val="auto"/>
          <w:kern w:val="0"/>
          <w:szCs w:val="21"/>
          <w:highlight w:val="none"/>
        </w:rPr>
        <w:t>h</w:t>
      </w:r>
      <w:r>
        <w:rPr>
          <w:rFonts w:hint="eastAsia" w:ascii="宋体" w:hAnsi="宋体" w:cs="仿宋"/>
          <w:bCs/>
          <w:color w:val="auto"/>
          <w:kern w:val="0"/>
          <w:szCs w:val="21"/>
          <w:highlight w:val="none"/>
        </w:rPr>
        <w:t>≤</w:t>
      </w:r>
      <w:r>
        <w:rPr>
          <w:rFonts w:ascii="宋体" w:hAnsi="宋体" w:cs="仿宋"/>
          <w:bCs/>
          <w:color w:val="auto"/>
          <w:kern w:val="0"/>
          <w:szCs w:val="21"/>
          <w:highlight w:val="none"/>
        </w:rPr>
        <w:t>1500 240</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仿宋"/>
          <w:bCs/>
          <w:color w:val="auto"/>
          <w:kern w:val="0"/>
          <w:szCs w:val="21"/>
          <w:highlight w:val="none"/>
        </w:rPr>
        <w:t>1500</w:t>
      </w:r>
      <w:r>
        <w:rPr>
          <w:rFonts w:hint="eastAsia" w:ascii="宋体" w:hAnsi="宋体" w:cs="仿宋"/>
          <w:bCs/>
          <w:color w:val="auto"/>
          <w:kern w:val="0"/>
          <w:szCs w:val="21"/>
          <w:highlight w:val="none"/>
        </w:rPr>
        <w:t>＜</w:t>
      </w:r>
      <w:r>
        <w:rPr>
          <w:rFonts w:ascii="宋体" w:hAnsi="宋体" w:cs="仿宋"/>
          <w:bCs/>
          <w:color w:val="auto"/>
          <w:kern w:val="0"/>
          <w:szCs w:val="21"/>
          <w:highlight w:val="none"/>
        </w:rPr>
        <w:t>h</w:t>
      </w:r>
      <w:r>
        <w:rPr>
          <w:rFonts w:hint="eastAsia" w:ascii="宋体" w:hAnsi="宋体" w:cs="仿宋"/>
          <w:bCs/>
          <w:color w:val="auto"/>
          <w:kern w:val="0"/>
          <w:szCs w:val="21"/>
          <w:highlight w:val="none"/>
        </w:rPr>
        <w:t>≤</w:t>
      </w:r>
      <w:r>
        <w:rPr>
          <w:rFonts w:ascii="宋体" w:hAnsi="宋体" w:cs="仿宋"/>
          <w:bCs/>
          <w:color w:val="auto"/>
          <w:kern w:val="0"/>
          <w:szCs w:val="21"/>
          <w:highlight w:val="none"/>
        </w:rPr>
        <w:t>2500 370</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cs="仿宋"/>
          <w:bCs/>
          <w:color w:val="auto"/>
          <w:kern w:val="0"/>
          <w:szCs w:val="21"/>
          <w:highlight w:val="none"/>
        </w:rPr>
        <w:t>h</w:t>
      </w:r>
      <w:r>
        <w:rPr>
          <w:rFonts w:hint="eastAsia" w:ascii="宋体" w:hAnsi="宋体" w:cs="仿宋"/>
          <w:bCs/>
          <w:color w:val="auto"/>
          <w:kern w:val="0"/>
          <w:szCs w:val="21"/>
          <w:highlight w:val="none"/>
        </w:rPr>
        <w:t>＞</w:t>
      </w:r>
      <w:r>
        <w:rPr>
          <w:rFonts w:ascii="宋体" w:hAnsi="宋体" w:cs="仿宋"/>
          <w:bCs/>
          <w:color w:val="auto"/>
          <w:kern w:val="0"/>
          <w:szCs w:val="21"/>
          <w:highlight w:val="none"/>
        </w:rPr>
        <w:t>2500 450</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2</w:t>
      </w:r>
      <w:r>
        <w:rPr>
          <w:rFonts w:hint="eastAsia" w:ascii="宋体" w:hAnsi="宋体" w:cs="仿宋"/>
          <w:bCs/>
          <w:color w:val="auto"/>
          <w:kern w:val="0"/>
          <w:szCs w:val="21"/>
          <w:highlight w:val="none"/>
        </w:rPr>
        <w:t>）核心筒开挖必须用钢板桩支护。</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3</w:t>
      </w:r>
      <w:r>
        <w:rPr>
          <w:rFonts w:hint="eastAsia" w:ascii="宋体" w:hAnsi="宋体" w:cs="仿宋"/>
          <w:bCs/>
          <w:color w:val="auto"/>
          <w:kern w:val="0"/>
          <w:szCs w:val="21"/>
          <w:highlight w:val="none"/>
        </w:rPr>
        <w:t>）地下室底板钢筋垫块、马镫设置不少于</w:t>
      </w:r>
      <w:r>
        <w:rPr>
          <w:rFonts w:ascii="宋体" w:hAnsi="宋体" w:cs="仿宋"/>
          <w:bCs/>
          <w:color w:val="auto"/>
          <w:kern w:val="0"/>
          <w:szCs w:val="21"/>
          <w:highlight w:val="none"/>
        </w:rPr>
        <w:t xml:space="preserve">1 </w:t>
      </w:r>
      <w:r>
        <w:rPr>
          <w:rFonts w:hint="eastAsia" w:ascii="宋体" w:hAnsi="宋体" w:cs="仿宋"/>
          <w:bCs/>
          <w:color w:val="auto"/>
          <w:kern w:val="0"/>
          <w:szCs w:val="21"/>
          <w:highlight w:val="none"/>
        </w:rPr>
        <w:t>米</w:t>
      </w:r>
      <w:r>
        <w:rPr>
          <w:rFonts w:ascii="宋体" w:hAnsi="宋体" w:cs="仿宋"/>
          <w:bCs/>
          <w:color w:val="auto"/>
          <w:kern w:val="0"/>
          <w:szCs w:val="21"/>
          <w:highlight w:val="none"/>
        </w:rPr>
        <w:t xml:space="preserve">1 </w:t>
      </w:r>
      <w:r>
        <w:rPr>
          <w:rFonts w:hint="eastAsia" w:ascii="宋体" w:hAnsi="宋体" w:cs="仿宋"/>
          <w:bCs/>
          <w:color w:val="auto"/>
          <w:kern w:val="0"/>
          <w:szCs w:val="21"/>
          <w:highlight w:val="none"/>
        </w:rPr>
        <w:t>个梅花状布置，马镫使用直径Φ</w:t>
      </w:r>
      <w:r>
        <w:rPr>
          <w:rFonts w:ascii="宋体" w:hAnsi="宋体" w:cs="仿宋"/>
          <w:bCs/>
          <w:color w:val="auto"/>
          <w:kern w:val="0"/>
          <w:szCs w:val="21"/>
          <w:highlight w:val="none"/>
        </w:rPr>
        <w:t xml:space="preserve">18 </w:t>
      </w:r>
      <w:r>
        <w:rPr>
          <w:rFonts w:hint="eastAsia" w:ascii="宋体" w:hAnsi="宋体" w:cs="仿宋"/>
          <w:bCs/>
          <w:color w:val="auto"/>
          <w:kern w:val="0"/>
          <w:szCs w:val="21"/>
          <w:highlight w:val="none"/>
        </w:rPr>
        <w:t>二级钢，如设计有更严格要求以设计要求为准。马镫要求放在面筋及底筋之间，垫块要求必须采用购买的成品垫块。</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4</w:t>
      </w:r>
      <w:r>
        <w:rPr>
          <w:rFonts w:hint="eastAsia" w:ascii="宋体" w:hAnsi="宋体" w:cs="仿宋"/>
          <w:bCs/>
          <w:color w:val="auto"/>
          <w:kern w:val="0"/>
          <w:szCs w:val="21"/>
          <w:highlight w:val="none"/>
        </w:rPr>
        <w:t>）地下室底板、地下室顶板、屋面结构板严禁出现施工冷缝，浇筑前一天总包必须上报专项浇筑及值班方案，浇筑前必</w:t>
      </w:r>
      <w:r>
        <w:rPr>
          <w:rFonts w:hint="eastAsia" w:ascii="宋体" w:hAnsi="宋体" w:cs="FangSong,Bold"/>
          <w:bCs/>
          <w:color w:val="auto"/>
          <w:kern w:val="0"/>
          <w:szCs w:val="21"/>
          <w:highlight w:val="none"/>
        </w:rPr>
        <w:t>须</w:t>
      </w:r>
      <w:r>
        <w:rPr>
          <w:rFonts w:hint="eastAsia" w:ascii="宋体" w:hAnsi="宋体" w:cs="仿宋"/>
          <w:bCs/>
          <w:color w:val="auto"/>
          <w:kern w:val="0"/>
          <w:szCs w:val="21"/>
          <w:highlight w:val="none"/>
        </w:rPr>
        <w:t>通过发包人、监理、总包的联合验收并签署浇筑令方可浇筑，混凝土终凝后即采用砖筑围档蓄水或麻袋满盖养护不少于</w:t>
      </w:r>
      <w:r>
        <w:rPr>
          <w:rFonts w:ascii="宋体" w:hAnsi="宋体" w:cs="仿宋"/>
          <w:bCs/>
          <w:color w:val="auto"/>
          <w:kern w:val="0"/>
          <w:szCs w:val="21"/>
          <w:highlight w:val="none"/>
        </w:rPr>
        <w:t>14</w:t>
      </w:r>
      <w:r>
        <w:rPr>
          <w:rFonts w:hint="eastAsia" w:ascii="宋体" w:hAnsi="宋体" w:cs="仿宋"/>
          <w:bCs/>
          <w:color w:val="auto"/>
          <w:kern w:val="0"/>
          <w:szCs w:val="21"/>
          <w:highlight w:val="none"/>
        </w:rPr>
        <w:t>天方可拆摸。</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5</w:t>
      </w:r>
      <w:r>
        <w:rPr>
          <w:rFonts w:hint="eastAsia" w:ascii="宋体" w:hAnsi="宋体" w:cs="仿宋"/>
          <w:bCs/>
          <w:color w:val="auto"/>
          <w:kern w:val="0"/>
          <w:szCs w:val="21"/>
          <w:highlight w:val="none"/>
        </w:rPr>
        <w:t>）后浇带必须砖砌围档蓄水养护不少于</w:t>
      </w:r>
      <w:r>
        <w:rPr>
          <w:rFonts w:ascii="宋体" w:hAnsi="宋体" w:cs="仿宋"/>
          <w:bCs/>
          <w:color w:val="auto"/>
          <w:kern w:val="0"/>
          <w:szCs w:val="21"/>
          <w:highlight w:val="none"/>
        </w:rPr>
        <w:t>14</w:t>
      </w:r>
      <w:r>
        <w:rPr>
          <w:rFonts w:hint="eastAsia" w:ascii="宋体" w:hAnsi="宋体" w:cs="仿宋"/>
          <w:bCs/>
          <w:color w:val="auto"/>
          <w:kern w:val="0"/>
          <w:szCs w:val="21"/>
          <w:highlight w:val="none"/>
        </w:rPr>
        <w:t>天，每发现一次后浇带未按照要求养护或者养护不到位的处以不低于</w:t>
      </w:r>
      <w:r>
        <w:rPr>
          <w:rFonts w:ascii="宋体" w:hAnsi="宋体" w:cs="仿宋"/>
          <w:bCs/>
          <w:color w:val="auto"/>
          <w:kern w:val="0"/>
          <w:szCs w:val="21"/>
          <w:highlight w:val="none"/>
        </w:rPr>
        <w:t>10000</w:t>
      </w:r>
      <w:r>
        <w:rPr>
          <w:rFonts w:hint="eastAsia" w:ascii="宋体" w:hAnsi="宋体" w:cs="仿宋"/>
          <w:bCs/>
          <w:color w:val="auto"/>
          <w:kern w:val="0"/>
          <w:szCs w:val="21"/>
          <w:highlight w:val="none"/>
        </w:rPr>
        <w:t>元违约金。</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6</w:t>
      </w:r>
      <w:r>
        <w:rPr>
          <w:rFonts w:hint="eastAsia" w:ascii="宋体" w:hAnsi="宋体" w:cs="仿宋"/>
          <w:bCs/>
          <w:color w:val="auto"/>
          <w:kern w:val="0"/>
          <w:szCs w:val="21"/>
          <w:highlight w:val="none"/>
        </w:rPr>
        <w:t>）后浇带相交位置、塔吊基础必须设集水井以方便后期清理及排水。</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7</w:t>
      </w:r>
      <w:r>
        <w:rPr>
          <w:rFonts w:hint="eastAsia" w:ascii="宋体" w:hAnsi="宋体" w:cs="仿宋"/>
          <w:bCs/>
          <w:color w:val="auto"/>
          <w:kern w:val="0"/>
          <w:szCs w:val="21"/>
          <w:highlight w:val="none"/>
        </w:rPr>
        <w:t>）后浇带处垫层必须设置下沉式构造措施，比周边大面垫层低</w:t>
      </w:r>
      <w:r>
        <w:rPr>
          <w:rFonts w:ascii="宋体" w:hAnsi="宋体" w:cs="仿宋"/>
          <w:bCs/>
          <w:color w:val="auto"/>
          <w:kern w:val="0"/>
          <w:szCs w:val="21"/>
          <w:highlight w:val="none"/>
        </w:rPr>
        <w:t>100</w:t>
      </w:r>
      <w:r>
        <w:rPr>
          <w:rFonts w:hint="eastAsia" w:ascii="宋体" w:hAnsi="宋体" w:cs="仿宋"/>
          <w:bCs/>
          <w:color w:val="auto"/>
          <w:kern w:val="0"/>
          <w:szCs w:val="21"/>
          <w:highlight w:val="none"/>
        </w:rPr>
        <w:t>。</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8</w:t>
      </w:r>
      <w:r>
        <w:rPr>
          <w:rFonts w:hint="eastAsia" w:ascii="宋体" w:hAnsi="宋体" w:cs="仿宋"/>
          <w:bCs/>
          <w:color w:val="auto"/>
          <w:kern w:val="0"/>
          <w:szCs w:val="21"/>
          <w:highlight w:val="none"/>
        </w:rPr>
        <w:t>）地下室侧壁后浇带砌</w:t>
      </w:r>
      <w:r>
        <w:rPr>
          <w:rFonts w:ascii="宋体" w:hAnsi="宋体" w:cs="仿宋"/>
          <w:bCs/>
          <w:color w:val="auto"/>
          <w:kern w:val="0"/>
          <w:szCs w:val="21"/>
          <w:highlight w:val="none"/>
        </w:rPr>
        <w:t>370</w:t>
      </w:r>
      <w:r>
        <w:rPr>
          <w:rFonts w:hint="eastAsia" w:ascii="宋体" w:hAnsi="宋体" w:cs="仿宋"/>
          <w:bCs/>
          <w:color w:val="auto"/>
          <w:kern w:val="0"/>
          <w:szCs w:val="21"/>
          <w:highlight w:val="none"/>
        </w:rPr>
        <w:t>灰砂砖墙予以保护并预留足够操作面空间。</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9</w:t>
      </w:r>
      <w:r>
        <w:rPr>
          <w:rFonts w:hint="eastAsia" w:ascii="宋体" w:hAnsi="宋体" w:cs="仿宋"/>
          <w:bCs/>
          <w:color w:val="auto"/>
          <w:kern w:val="0"/>
          <w:szCs w:val="21"/>
          <w:highlight w:val="none"/>
        </w:rPr>
        <w:t>）地下室底板、顶板后浇带两侧砌</w:t>
      </w:r>
      <w:r>
        <w:rPr>
          <w:rFonts w:ascii="宋体" w:hAnsi="宋体" w:cs="仿宋"/>
          <w:bCs/>
          <w:color w:val="auto"/>
          <w:kern w:val="0"/>
          <w:szCs w:val="21"/>
          <w:highlight w:val="none"/>
        </w:rPr>
        <w:t xml:space="preserve">100 </w:t>
      </w:r>
      <w:r>
        <w:rPr>
          <w:rFonts w:hint="eastAsia" w:ascii="宋体" w:hAnsi="宋体" w:cs="仿宋"/>
          <w:bCs/>
          <w:color w:val="auto"/>
          <w:kern w:val="0"/>
          <w:szCs w:val="21"/>
          <w:highlight w:val="none"/>
        </w:rPr>
        <w:t>高</w:t>
      </w:r>
      <w:r>
        <w:rPr>
          <w:rFonts w:ascii="宋体" w:hAnsi="宋体" w:cs="仿宋"/>
          <w:bCs/>
          <w:color w:val="auto"/>
          <w:kern w:val="0"/>
          <w:szCs w:val="21"/>
          <w:highlight w:val="none"/>
        </w:rPr>
        <w:t xml:space="preserve">120 </w:t>
      </w:r>
      <w:r>
        <w:rPr>
          <w:rFonts w:hint="eastAsia" w:ascii="宋体" w:hAnsi="宋体" w:cs="仿宋"/>
          <w:bCs/>
          <w:color w:val="auto"/>
          <w:kern w:val="0"/>
          <w:szCs w:val="21"/>
          <w:highlight w:val="none"/>
        </w:rPr>
        <w:t>灰砂砖墙，上盖模板并固定在砼板上做好保护，以防止泥浆进入地库或后浇带内。</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10</w:t>
      </w:r>
      <w:r>
        <w:rPr>
          <w:rFonts w:hint="eastAsia" w:ascii="宋体" w:hAnsi="宋体" w:cs="仿宋"/>
          <w:bCs/>
          <w:color w:val="auto"/>
          <w:kern w:val="0"/>
          <w:szCs w:val="21"/>
          <w:highlight w:val="none"/>
        </w:rPr>
        <w:t>）地库外墙、人防区墙体要求必须采用止水螺杆。</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地下室顶板、屋面结构板、所有卫生间沉箱必须在拆除模板并清理垃圾后第一时间做蓄水试验，如果发现渗漏必须采取结构堵漏并重新试水，具体蓄水要求如下：</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1</w:t>
      </w:r>
      <w:r>
        <w:rPr>
          <w:rFonts w:hint="eastAsia" w:ascii="宋体" w:hAnsi="宋体" w:cs="仿宋"/>
          <w:bCs/>
          <w:color w:val="auto"/>
          <w:kern w:val="0"/>
          <w:szCs w:val="21"/>
          <w:highlight w:val="none"/>
        </w:rPr>
        <w:t>）地下室顶板沿后浇带或侧边砌砖墙形成维护，蓄水深度不少于</w:t>
      </w:r>
      <w:r>
        <w:rPr>
          <w:rFonts w:ascii="宋体" w:hAnsi="宋体" w:cs="仿宋"/>
          <w:bCs/>
          <w:color w:val="auto"/>
          <w:kern w:val="0"/>
          <w:szCs w:val="21"/>
          <w:highlight w:val="none"/>
        </w:rPr>
        <w:t>100</w:t>
      </w:r>
      <w:r>
        <w:rPr>
          <w:rFonts w:hint="eastAsia" w:ascii="宋体" w:hAnsi="宋体" w:cs="仿宋"/>
          <w:bCs/>
          <w:color w:val="auto"/>
          <w:kern w:val="0"/>
          <w:szCs w:val="21"/>
          <w:highlight w:val="none"/>
        </w:rPr>
        <w:t>，蓄水观察时间不少于</w:t>
      </w:r>
      <w:r>
        <w:rPr>
          <w:rFonts w:ascii="宋体" w:hAnsi="宋体" w:cs="仿宋"/>
          <w:bCs/>
          <w:color w:val="auto"/>
          <w:kern w:val="0"/>
          <w:szCs w:val="21"/>
          <w:highlight w:val="none"/>
        </w:rPr>
        <w:t>72</w:t>
      </w:r>
      <w:r>
        <w:rPr>
          <w:rFonts w:hint="eastAsia" w:ascii="宋体" w:hAnsi="宋体" w:cs="仿宋"/>
          <w:bCs/>
          <w:color w:val="auto"/>
          <w:kern w:val="0"/>
          <w:szCs w:val="21"/>
          <w:highlight w:val="none"/>
        </w:rPr>
        <w:t>小时。</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2</w:t>
      </w:r>
      <w:r>
        <w:rPr>
          <w:rFonts w:hint="eastAsia" w:ascii="宋体" w:hAnsi="宋体" w:cs="仿宋"/>
          <w:bCs/>
          <w:color w:val="auto"/>
          <w:kern w:val="0"/>
          <w:szCs w:val="21"/>
          <w:highlight w:val="none"/>
        </w:rPr>
        <w:t>）屋面结构板如果需要时砌砖墙围闭洞口以形成蓄水环境，蓄水深度不少于</w:t>
      </w:r>
      <w:r>
        <w:rPr>
          <w:rFonts w:ascii="宋体" w:hAnsi="宋体" w:cs="仿宋"/>
          <w:bCs/>
          <w:color w:val="auto"/>
          <w:kern w:val="0"/>
          <w:szCs w:val="21"/>
          <w:highlight w:val="none"/>
        </w:rPr>
        <w:t>300</w:t>
      </w:r>
      <w:r>
        <w:rPr>
          <w:rFonts w:hint="eastAsia" w:ascii="宋体" w:hAnsi="宋体" w:cs="仿宋"/>
          <w:bCs/>
          <w:color w:val="auto"/>
          <w:kern w:val="0"/>
          <w:szCs w:val="21"/>
          <w:highlight w:val="none"/>
        </w:rPr>
        <w:t>，蓄水观察时间不少于</w:t>
      </w:r>
      <w:r>
        <w:rPr>
          <w:rFonts w:ascii="宋体" w:hAnsi="宋体" w:cs="仿宋"/>
          <w:bCs/>
          <w:color w:val="auto"/>
          <w:kern w:val="0"/>
          <w:szCs w:val="21"/>
          <w:highlight w:val="none"/>
        </w:rPr>
        <w:t>7</w:t>
      </w:r>
      <w:r>
        <w:rPr>
          <w:rFonts w:hint="eastAsia" w:ascii="宋体" w:hAnsi="宋体" w:cs="仿宋"/>
          <w:bCs/>
          <w:color w:val="auto"/>
          <w:kern w:val="0"/>
          <w:szCs w:val="21"/>
          <w:highlight w:val="none"/>
        </w:rPr>
        <w:t>天。</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3</w:t>
      </w:r>
      <w:r>
        <w:rPr>
          <w:rFonts w:hint="eastAsia" w:ascii="宋体" w:hAnsi="宋体" w:cs="仿宋"/>
          <w:bCs/>
          <w:color w:val="auto"/>
          <w:kern w:val="0"/>
          <w:szCs w:val="21"/>
          <w:highlight w:val="none"/>
        </w:rPr>
        <w:t>）卫生间封堵相应洞口后蓄水到楼层厅结构标高以上</w:t>
      </w:r>
      <w:r>
        <w:rPr>
          <w:rFonts w:ascii="宋体" w:hAnsi="宋体" w:cs="仿宋"/>
          <w:bCs/>
          <w:color w:val="auto"/>
          <w:kern w:val="0"/>
          <w:szCs w:val="21"/>
          <w:highlight w:val="none"/>
        </w:rPr>
        <w:t>50mm</w:t>
      </w:r>
      <w:r>
        <w:rPr>
          <w:rFonts w:hint="eastAsia" w:ascii="宋体" w:hAnsi="宋体" w:cs="仿宋"/>
          <w:bCs/>
          <w:color w:val="auto"/>
          <w:kern w:val="0"/>
          <w:szCs w:val="21"/>
          <w:highlight w:val="none"/>
        </w:rPr>
        <w:t>，蓄水观察时间不少于</w:t>
      </w:r>
      <w:r>
        <w:rPr>
          <w:rFonts w:ascii="宋体" w:hAnsi="宋体" w:cs="仿宋"/>
          <w:bCs/>
          <w:color w:val="auto"/>
          <w:kern w:val="0"/>
          <w:szCs w:val="21"/>
          <w:highlight w:val="none"/>
        </w:rPr>
        <w:t>24</w:t>
      </w:r>
      <w:r>
        <w:rPr>
          <w:rFonts w:hint="eastAsia" w:ascii="宋体" w:hAnsi="宋体" w:cs="仿宋"/>
          <w:bCs/>
          <w:color w:val="auto"/>
          <w:kern w:val="0"/>
          <w:szCs w:val="21"/>
          <w:highlight w:val="none"/>
        </w:rPr>
        <w:t>小时。</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4</w:t>
      </w:r>
      <w:r>
        <w:rPr>
          <w:rFonts w:hint="eastAsia" w:ascii="宋体" w:hAnsi="宋体" w:cs="仿宋"/>
          <w:bCs/>
          <w:color w:val="auto"/>
          <w:kern w:val="0"/>
          <w:szCs w:val="21"/>
          <w:highlight w:val="none"/>
        </w:rPr>
        <w:t>）外墙试水不得少于24小时；空调板试水不得少于</w:t>
      </w:r>
      <w:r>
        <w:rPr>
          <w:rFonts w:ascii="宋体" w:hAnsi="宋体" w:cs="仿宋"/>
          <w:bCs/>
          <w:color w:val="auto"/>
          <w:kern w:val="0"/>
          <w:szCs w:val="21"/>
          <w:highlight w:val="none"/>
        </w:rPr>
        <w:t>24</w:t>
      </w:r>
      <w:r>
        <w:rPr>
          <w:rFonts w:hint="eastAsia" w:ascii="宋体" w:hAnsi="宋体" w:cs="仿宋"/>
          <w:bCs/>
          <w:color w:val="auto"/>
          <w:kern w:val="0"/>
          <w:szCs w:val="21"/>
          <w:highlight w:val="none"/>
        </w:rPr>
        <w:t>小时。</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楼层与竖向构件必须采取有效养护措施并养护时间不短于</w:t>
      </w:r>
      <w:r>
        <w:rPr>
          <w:rFonts w:ascii="宋体" w:hAnsi="宋体" w:cs="仿宋"/>
          <w:bCs/>
          <w:color w:val="auto"/>
          <w:kern w:val="0"/>
          <w:szCs w:val="21"/>
          <w:highlight w:val="none"/>
        </w:rPr>
        <w:t xml:space="preserve">3 </w:t>
      </w:r>
      <w:r>
        <w:rPr>
          <w:rFonts w:hint="eastAsia" w:ascii="宋体" w:hAnsi="宋体" w:cs="仿宋"/>
          <w:bCs/>
          <w:color w:val="auto"/>
          <w:kern w:val="0"/>
          <w:szCs w:val="21"/>
          <w:highlight w:val="none"/>
        </w:rPr>
        <w:t>天，如果发包人或监理巡视现场时发现有养护不到位情况，每发现一次将对总包处以不低于</w:t>
      </w:r>
      <w:r>
        <w:rPr>
          <w:rFonts w:ascii="宋体" w:hAnsi="宋体" w:cs="仿宋"/>
          <w:bCs/>
          <w:color w:val="auto"/>
          <w:kern w:val="0"/>
          <w:szCs w:val="21"/>
          <w:highlight w:val="none"/>
        </w:rPr>
        <w:t>1000</w:t>
      </w:r>
      <w:r>
        <w:rPr>
          <w:rFonts w:hint="eastAsia" w:ascii="宋体" w:hAnsi="宋体" w:cs="仿宋"/>
          <w:bCs/>
          <w:color w:val="auto"/>
          <w:kern w:val="0"/>
          <w:szCs w:val="21"/>
          <w:highlight w:val="none"/>
        </w:rPr>
        <w:t>元违约金。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ascii="宋体" w:hAnsi="宋体" w:cs="仿宋"/>
          <w:color w:val="auto"/>
          <w:kern w:val="0"/>
          <w:highlight w:val="none"/>
        </w:rPr>
        <w:t>木模及铝模配置要求：</w:t>
      </w:r>
    </w:p>
    <w:p>
      <w:pPr>
        <w:pStyle w:val="837"/>
        <w:spacing w:line="360" w:lineRule="auto"/>
        <w:ind w:left="14" w:firstLine="438" w:firstLineChars="209"/>
        <w:rPr>
          <w:rFonts w:ascii="宋体" w:hAnsi="宋体" w:cs="仿宋"/>
          <w:color w:val="auto"/>
          <w:kern w:val="0"/>
          <w:highlight w:val="none"/>
          <w:u w:val="single"/>
        </w:rPr>
      </w:pPr>
      <w:r>
        <w:rPr>
          <w:rFonts w:ascii="宋体" w:hAnsi="宋体" w:cs="仿宋"/>
          <w:color w:val="auto"/>
          <w:kern w:val="0"/>
          <w:highlight w:val="none"/>
        </w:rPr>
        <w:t>6</w:t>
      </w:r>
      <w:r>
        <w:rPr>
          <w:rFonts w:hint="eastAsia" w:ascii="宋体" w:hAnsi="宋体" w:cs="仿宋"/>
          <w:color w:val="auto"/>
          <w:kern w:val="0"/>
          <w:highlight w:val="none"/>
        </w:rPr>
        <w:t>.8.1</w:t>
      </w:r>
      <w:r>
        <w:rPr>
          <w:rFonts w:ascii="宋体" w:hAnsi="宋体" w:cs="仿宋"/>
          <w:color w:val="auto"/>
          <w:kern w:val="0"/>
          <w:highlight w:val="none"/>
        </w:rPr>
        <w:t>.</w:t>
      </w:r>
      <w:r>
        <w:rPr>
          <w:rFonts w:hint="eastAsia"/>
          <w:bCs/>
          <w:color w:val="auto"/>
          <w:highlight w:val="none"/>
        </w:rPr>
        <w:t>正负零以上主体非铝模层的梁板墙柱模板必须用全新的“黑模”，模板厚度大于等于</w:t>
      </w:r>
      <w:r>
        <w:rPr>
          <w:bCs/>
          <w:color w:val="auto"/>
          <w:highlight w:val="none"/>
        </w:rPr>
        <w:t>1</w:t>
      </w:r>
      <w:r>
        <w:rPr>
          <w:rFonts w:hint="eastAsia"/>
          <w:bCs/>
          <w:color w:val="auto"/>
          <w:highlight w:val="none"/>
        </w:rPr>
        <w:t>8</w:t>
      </w:r>
      <w:r>
        <w:rPr>
          <w:bCs/>
          <w:color w:val="auto"/>
          <w:highlight w:val="none"/>
        </w:rPr>
        <w:t>mm</w:t>
      </w:r>
      <w:r>
        <w:rPr>
          <w:rFonts w:hint="eastAsia"/>
          <w:bCs/>
          <w:color w:val="auto"/>
          <w:highlight w:val="none"/>
        </w:rPr>
        <w:t>。其中水平模板、竖向构件模板用黑模板。正负零以下地下室范围采用全新的木模板，模板厚度大于等于18</w:t>
      </w:r>
      <w:r>
        <w:rPr>
          <w:bCs/>
          <w:color w:val="auto"/>
          <w:highlight w:val="none"/>
        </w:rPr>
        <w:t>mm</w:t>
      </w:r>
      <w:r>
        <w:rPr>
          <w:rFonts w:hint="eastAsia"/>
          <w:bCs/>
          <w:color w:val="auto"/>
          <w:highlight w:val="none"/>
        </w:rPr>
        <w:t>。多层洋房要求使用钢方通背楞。模板及构件施工质量满足规范要求。要求采用水性脱模剂，需报发包人审批同意后才能使用</w:t>
      </w:r>
      <w:r>
        <w:rPr>
          <w:rFonts w:ascii="宋体" w:hAnsi="宋体" w:cs="宋体"/>
          <w:bCs/>
          <w:color w:val="auto"/>
          <w:kern w:val="0"/>
          <w:szCs w:val="21"/>
          <w:highlight w:val="none"/>
        </w:rPr>
        <w:t>。</w:t>
      </w:r>
    </w:p>
    <w:p>
      <w:pPr>
        <w:pStyle w:val="837"/>
        <w:spacing w:line="360" w:lineRule="auto"/>
        <w:ind w:left="14" w:firstLine="438" w:firstLineChars="209"/>
        <w:rPr>
          <w:rFonts w:ascii="宋体" w:hAnsi="宋体" w:cs="仿宋"/>
          <w:color w:val="auto"/>
          <w:kern w:val="0"/>
          <w:highlight w:val="none"/>
          <w:u w:val="single"/>
        </w:rPr>
      </w:pPr>
      <w:r>
        <w:rPr>
          <w:rFonts w:ascii="宋体" w:hAnsi="宋体" w:cs="仿宋"/>
          <w:color w:val="auto"/>
          <w:kern w:val="0"/>
          <w:highlight w:val="none"/>
        </w:rPr>
        <w:t>6.8.2.</w:t>
      </w:r>
      <w:r>
        <w:rPr>
          <w:rFonts w:hint="eastAsia" w:ascii="宋体" w:hAnsi="宋体" w:cs="仿宋"/>
          <w:color w:val="auto"/>
          <w:kern w:val="0"/>
          <w:highlight w:val="none"/>
        </w:rPr>
        <w:t>每栋</w:t>
      </w:r>
      <w:r>
        <w:rPr>
          <w:rFonts w:ascii="宋体" w:hAnsi="宋体" w:cs="仿宋"/>
          <w:color w:val="auto"/>
          <w:kern w:val="0"/>
          <w:highlight w:val="none"/>
        </w:rPr>
        <w:t>高层</w:t>
      </w:r>
      <w:r>
        <w:rPr>
          <w:rFonts w:hint="eastAsia" w:ascii="宋体" w:hAnsi="宋体" w:cs="仿宋"/>
          <w:color w:val="auto"/>
          <w:kern w:val="0"/>
          <w:highlight w:val="none"/>
        </w:rPr>
        <w:t>塔楼标准层施工时必须按如下配置要求配置铝模配件；</w:t>
      </w:r>
      <w:r>
        <w:rPr>
          <w:rFonts w:hint="eastAsia"/>
          <w:bCs/>
          <w:color w:val="auto"/>
          <w:highlight w:val="none"/>
        </w:rPr>
        <w:t>塔楼标准层施工时必须使用全新铝模，不得使用翻新模板，要求：墙、柱、梁板模板</w:t>
      </w:r>
      <w:r>
        <w:rPr>
          <w:bCs/>
          <w:color w:val="auto"/>
          <w:highlight w:val="none"/>
        </w:rPr>
        <w:t>1</w:t>
      </w:r>
      <w:r>
        <w:rPr>
          <w:rFonts w:hint="eastAsia"/>
          <w:bCs/>
          <w:color w:val="auto"/>
          <w:highlight w:val="none"/>
        </w:rPr>
        <w:t>套，顶板支撑</w:t>
      </w:r>
      <w:r>
        <w:rPr>
          <w:bCs/>
          <w:color w:val="auto"/>
          <w:highlight w:val="none"/>
        </w:rPr>
        <w:t>4</w:t>
      </w:r>
      <w:r>
        <w:rPr>
          <w:rFonts w:hint="eastAsia"/>
          <w:bCs/>
          <w:color w:val="auto"/>
          <w:highlight w:val="none"/>
        </w:rPr>
        <w:t>套，梁底支撑</w:t>
      </w:r>
      <w:r>
        <w:rPr>
          <w:bCs/>
          <w:color w:val="auto"/>
          <w:highlight w:val="none"/>
        </w:rPr>
        <w:t>5</w:t>
      </w:r>
      <w:r>
        <w:rPr>
          <w:rFonts w:hint="eastAsia"/>
          <w:bCs/>
          <w:color w:val="auto"/>
          <w:highlight w:val="none"/>
        </w:rPr>
        <w:t>套，悬挑支撑</w:t>
      </w:r>
      <w:r>
        <w:rPr>
          <w:bCs/>
          <w:color w:val="auto"/>
          <w:highlight w:val="none"/>
        </w:rPr>
        <w:t>5</w:t>
      </w:r>
      <w:r>
        <w:rPr>
          <w:rFonts w:hint="eastAsia"/>
          <w:bCs/>
          <w:color w:val="auto"/>
          <w:highlight w:val="none"/>
        </w:rPr>
        <w:t>套。</w:t>
      </w:r>
    </w:p>
    <w:tbl>
      <w:tblPr>
        <w:tblStyle w:val="62"/>
        <w:tblW w:w="5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1"/>
        <w:gridCol w:w="2070"/>
        <w:gridCol w:w="1352"/>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41"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b/>
                <w:bCs/>
                <w:color w:val="auto"/>
                <w:kern w:val="0"/>
                <w:highlight w:val="none"/>
              </w:rPr>
              <w:t>序号</w:t>
            </w:r>
          </w:p>
        </w:tc>
        <w:tc>
          <w:tcPr>
            <w:tcW w:w="2070"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b/>
                <w:bCs/>
                <w:color w:val="auto"/>
                <w:kern w:val="0"/>
                <w:highlight w:val="none"/>
              </w:rPr>
              <w:t>模板名称</w:t>
            </w:r>
          </w:p>
        </w:tc>
        <w:tc>
          <w:tcPr>
            <w:tcW w:w="1352"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b/>
                <w:bCs/>
                <w:color w:val="auto"/>
                <w:kern w:val="0"/>
                <w:highlight w:val="none"/>
              </w:rPr>
              <w:t>单位</w:t>
            </w:r>
          </w:p>
        </w:tc>
        <w:tc>
          <w:tcPr>
            <w:tcW w:w="1617"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b/>
                <w:bCs/>
                <w:color w:val="auto"/>
                <w:kern w:val="0"/>
                <w:highlight w:val="none"/>
              </w:rPr>
              <w:t>形象数量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41" w:type="dxa"/>
            <w:vAlign w:val="center"/>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w:t>
            </w:r>
          </w:p>
        </w:tc>
        <w:tc>
          <w:tcPr>
            <w:tcW w:w="2070"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剪力墙、柱模板</w:t>
            </w:r>
          </w:p>
        </w:tc>
        <w:tc>
          <w:tcPr>
            <w:tcW w:w="1352"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层</w:t>
            </w:r>
          </w:p>
        </w:tc>
        <w:tc>
          <w:tcPr>
            <w:tcW w:w="1617"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41" w:type="dxa"/>
            <w:vAlign w:val="center"/>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w:t>
            </w:r>
          </w:p>
        </w:tc>
        <w:tc>
          <w:tcPr>
            <w:tcW w:w="2070"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梁模板</w:t>
            </w:r>
          </w:p>
        </w:tc>
        <w:tc>
          <w:tcPr>
            <w:tcW w:w="1352"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层</w:t>
            </w:r>
          </w:p>
        </w:tc>
        <w:tc>
          <w:tcPr>
            <w:tcW w:w="1617"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41" w:type="dxa"/>
            <w:vAlign w:val="center"/>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w:t>
            </w:r>
          </w:p>
        </w:tc>
        <w:tc>
          <w:tcPr>
            <w:tcW w:w="2070"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楼面模板</w:t>
            </w:r>
          </w:p>
        </w:tc>
        <w:tc>
          <w:tcPr>
            <w:tcW w:w="1352"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层</w:t>
            </w:r>
          </w:p>
        </w:tc>
        <w:tc>
          <w:tcPr>
            <w:tcW w:w="1617"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41" w:type="dxa"/>
            <w:vAlign w:val="center"/>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4</w:t>
            </w:r>
          </w:p>
        </w:tc>
        <w:tc>
          <w:tcPr>
            <w:tcW w:w="2070"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早拆头</w:t>
            </w:r>
          </w:p>
        </w:tc>
        <w:tc>
          <w:tcPr>
            <w:tcW w:w="1352"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层</w:t>
            </w:r>
          </w:p>
        </w:tc>
        <w:tc>
          <w:tcPr>
            <w:tcW w:w="1617"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41" w:type="dxa"/>
            <w:vAlign w:val="center"/>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5</w:t>
            </w:r>
          </w:p>
        </w:tc>
        <w:tc>
          <w:tcPr>
            <w:tcW w:w="2070"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独立钢支撑</w:t>
            </w:r>
          </w:p>
        </w:tc>
        <w:tc>
          <w:tcPr>
            <w:tcW w:w="1352"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层</w:t>
            </w:r>
          </w:p>
        </w:tc>
        <w:tc>
          <w:tcPr>
            <w:tcW w:w="1617"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4</w:t>
            </w:r>
          </w:p>
        </w:tc>
      </w:tr>
    </w:tbl>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模板加工允许偏差如下：</w:t>
      </w:r>
    </w:p>
    <w:tbl>
      <w:tblPr>
        <w:tblStyle w:val="62"/>
        <w:tblW w:w="57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3018"/>
        <w:gridCol w:w="1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849"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序号</w:t>
            </w:r>
          </w:p>
        </w:tc>
        <w:tc>
          <w:tcPr>
            <w:tcW w:w="3018"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检查项目</w:t>
            </w:r>
          </w:p>
        </w:tc>
        <w:tc>
          <w:tcPr>
            <w:tcW w:w="1913"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允许偏差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849"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w:t>
            </w:r>
          </w:p>
        </w:tc>
        <w:tc>
          <w:tcPr>
            <w:tcW w:w="3018"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外形尺寸</w:t>
            </w:r>
          </w:p>
        </w:tc>
        <w:tc>
          <w:tcPr>
            <w:tcW w:w="1913"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-1mm/米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849"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2</w:t>
            </w:r>
          </w:p>
        </w:tc>
        <w:tc>
          <w:tcPr>
            <w:tcW w:w="3018"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对角线</w:t>
            </w:r>
          </w:p>
        </w:tc>
        <w:tc>
          <w:tcPr>
            <w:tcW w:w="1913"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849"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3</w:t>
            </w:r>
          </w:p>
        </w:tc>
        <w:tc>
          <w:tcPr>
            <w:tcW w:w="3018"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相邻表面高低差</w:t>
            </w:r>
          </w:p>
        </w:tc>
        <w:tc>
          <w:tcPr>
            <w:tcW w:w="1913"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0.5mm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849"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4</w:t>
            </w:r>
          </w:p>
        </w:tc>
        <w:tc>
          <w:tcPr>
            <w:tcW w:w="3018"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表面平整度（用2m直尺）</w:t>
            </w:r>
          </w:p>
        </w:tc>
        <w:tc>
          <w:tcPr>
            <w:tcW w:w="1913" w:type="dxa"/>
          </w:tcPr>
          <w:p>
            <w:pPr>
              <w:autoSpaceDE w:val="0"/>
              <w:autoSpaceDN w:val="0"/>
              <w:adjustRightInd w:val="0"/>
              <w:spacing w:line="480" w:lineRule="exact"/>
              <w:jc w:val="center"/>
              <w:rPr>
                <w:rFonts w:ascii="仿宋" w:hAnsi="仿宋" w:eastAsia="仿宋" w:cs="仿宋"/>
                <w:color w:val="auto"/>
                <w:kern w:val="0"/>
                <w:highlight w:val="none"/>
              </w:rPr>
            </w:pPr>
            <w:r>
              <w:rPr>
                <w:rFonts w:hint="eastAsia" w:ascii="仿宋" w:hAnsi="仿宋" w:eastAsia="仿宋" w:cs="仿宋"/>
                <w:color w:val="auto"/>
                <w:kern w:val="0"/>
                <w:highlight w:val="none"/>
              </w:rPr>
              <w:t>1mm</w:t>
            </w:r>
          </w:p>
        </w:tc>
      </w:tr>
    </w:tbl>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塔楼竖向模板品牌、型号必须报发包人审批同意后方可使用，所有木方要求采用杉木方并四面重新刨平，架体要求采用</w:t>
      </w:r>
      <w:r>
        <w:rPr>
          <w:rFonts w:ascii="宋体" w:hAnsi="宋体" w:cs="仿宋"/>
          <w:bCs/>
          <w:color w:val="auto"/>
          <w:kern w:val="0"/>
          <w:szCs w:val="21"/>
          <w:highlight w:val="none"/>
        </w:rPr>
        <w:t xml:space="preserve">48mm </w:t>
      </w:r>
      <w:r>
        <w:rPr>
          <w:rFonts w:hint="eastAsia" w:ascii="宋体" w:hAnsi="宋体" w:cs="仿宋"/>
          <w:bCs/>
          <w:color w:val="auto"/>
          <w:kern w:val="0"/>
          <w:szCs w:val="21"/>
          <w:highlight w:val="none"/>
        </w:rPr>
        <w:t>管径的成品钢管架，采用钢方通进行加固等。</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用于结构施工的所有木方均要求进场后重新四面刨平才能使用，不得使用边角料木方。非塔楼竖向模板的其他部位模板要求采用质量较好的模板。模板、木方、螺杆、钢筋架等主要周转材料采用前需报发包人批准后才能使用。</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结构施工时所有垫块均要求采用成品垫块，并优先采用塑料垫块。楼板面筋要求优先采用塑料支撑。剪力墙模板间为控制墙体厚度必须采用成品支撑。楼板板底筋垫块和面筋支撑要求</w:t>
      </w:r>
      <w:r>
        <w:rPr>
          <w:rFonts w:ascii="宋体" w:hAnsi="宋体" w:cs="仿宋"/>
          <w:bCs/>
          <w:color w:val="auto"/>
          <w:kern w:val="0"/>
          <w:szCs w:val="21"/>
          <w:highlight w:val="none"/>
        </w:rPr>
        <w:t>1</w:t>
      </w:r>
      <w:r>
        <w:rPr>
          <w:rFonts w:hint="eastAsia" w:ascii="宋体" w:hAnsi="宋体" w:cs="仿宋"/>
          <w:bCs/>
          <w:color w:val="auto"/>
          <w:kern w:val="0"/>
          <w:szCs w:val="21"/>
          <w:highlight w:val="none"/>
        </w:rPr>
        <w:t>平米</w:t>
      </w:r>
      <w:r>
        <w:rPr>
          <w:rFonts w:ascii="宋体" w:hAnsi="宋体" w:cs="仿宋"/>
          <w:bCs/>
          <w:color w:val="auto"/>
          <w:kern w:val="0"/>
          <w:szCs w:val="21"/>
          <w:highlight w:val="none"/>
        </w:rPr>
        <w:t>1</w:t>
      </w:r>
      <w:r>
        <w:rPr>
          <w:rFonts w:hint="eastAsia" w:ascii="宋体" w:hAnsi="宋体" w:cs="仿宋"/>
          <w:bCs/>
          <w:color w:val="auto"/>
          <w:kern w:val="0"/>
          <w:szCs w:val="21"/>
          <w:highlight w:val="none"/>
        </w:rPr>
        <w:t>个梅花状布置，楼板采用钢筋马镫时，马镫钢筋直径不小于</w:t>
      </w:r>
      <w:r>
        <w:rPr>
          <w:rFonts w:ascii="宋体" w:hAnsi="宋体" w:cs="仿宋"/>
          <w:bCs/>
          <w:color w:val="auto"/>
          <w:kern w:val="0"/>
          <w:szCs w:val="21"/>
          <w:highlight w:val="none"/>
        </w:rPr>
        <w:t>10mm,或按设计要求布置。</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楼板厚度必须满足设计及规范要求，</w:t>
      </w:r>
      <w:r>
        <w:rPr>
          <w:rFonts w:hint="eastAsia" w:ascii="宋体" w:hAnsi="宋体" w:cs="仿宋"/>
          <w:bCs/>
          <w:color w:val="auto"/>
          <w:kern w:val="0"/>
          <w:szCs w:val="21"/>
          <w:highlight w:val="none"/>
          <w:u w:val="single"/>
        </w:rPr>
        <w:t>施工时必须采用板厚控制器，</w:t>
      </w:r>
      <w:r>
        <w:rPr>
          <w:rFonts w:hint="eastAsia" w:ascii="宋体" w:hAnsi="宋体" w:cs="仿宋"/>
          <w:bCs/>
          <w:color w:val="auto"/>
          <w:kern w:val="0"/>
          <w:szCs w:val="21"/>
          <w:highlight w:val="none"/>
        </w:rPr>
        <w:t>现场实测或政府部门的实体检测楼板厚度不符合规范要求时，每栋每楼层处以不低于</w:t>
      </w:r>
      <w:r>
        <w:rPr>
          <w:rFonts w:ascii="宋体" w:hAnsi="宋体" w:cs="仿宋"/>
          <w:bCs/>
          <w:color w:val="auto"/>
          <w:kern w:val="0"/>
          <w:szCs w:val="21"/>
          <w:highlight w:val="none"/>
        </w:rPr>
        <w:t>1000</w:t>
      </w:r>
      <w:r>
        <w:rPr>
          <w:rFonts w:hint="eastAsia" w:ascii="宋体" w:hAnsi="宋体" w:cs="仿宋"/>
          <w:bCs/>
          <w:color w:val="auto"/>
          <w:kern w:val="0"/>
          <w:szCs w:val="21"/>
          <w:highlight w:val="none"/>
        </w:rPr>
        <w:t>元违约金。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所有模板要求在首层加工场加工完成后运至工作面，不得在工作面使用电锯台锯。</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所有砼浇筑要求总包向监理及发包人申请砼浇筑令，拆模前申请拆模令及拆模检查表。砼表面有质量问题时不得随意封闭，必须向监理、发包人申报检查后才能申请缺陷处理，随意私自封闭时，将对总包处以每次每处违约金</w:t>
      </w:r>
      <w:r>
        <w:rPr>
          <w:rFonts w:ascii="宋体" w:hAnsi="宋体" w:cs="仿宋"/>
          <w:bCs/>
          <w:color w:val="auto"/>
          <w:kern w:val="0"/>
          <w:szCs w:val="21"/>
          <w:highlight w:val="none"/>
        </w:rPr>
        <w:t>2000</w:t>
      </w:r>
      <w:r>
        <w:rPr>
          <w:rFonts w:hint="eastAsia" w:ascii="宋体" w:hAnsi="宋体" w:cs="仿宋"/>
          <w:bCs/>
          <w:color w:val="auto"/>
          <w:kern w:val="0"/>
          <w:szCs w:val="21"/>
          <w:highlight w:val="none"/>
        </w:rPr>
        <w:t>至</w:t>
      </w:r>
      <w:r>
        <w:rPr>
          <w:rFonts w:ascii="宋体" w:hAnsi="宋体" w:cs="仿宋"/>
          <w:bCs/>
          <w:color w:val="auto"/>
          <w:kern w:val="0"/>
          <w:szCs w:val="21"/>
          <w:highlight w:val="none"/>
        </w:rPr>
        <w:t>10000</w:t>
      </w:r>
      <w:r>
        <w:rPr>
          <w:rFonts w:hint="eastAsia" w:ascii="宋体" w:hAnsi="宋体" w:cs="仿宋"/>
          <w:bCs/>
          <w:color w:val="auto"/>
          <w:kern w:val="0"/>
          <w:szCs w:val="21"/>
          <w:highlight w:val="none"/>
        </w:rPr>
        <w:t>元。</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楼梯踏步模板要求必须采用封闭模板。</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楼层模板验收时，要求采用红外线激光水平仪检测其平整度，允许偏差为</w:t>
      </w:r>
      <w:r>
        <w:rPr>
          <w:rFonts w:ascii="宋体" w:hAnsi="宋体" w:cs="仿宋"/>
          <w:bCs/>
          <w:color w:val="auto"/>
          <w:kern w:val="0"/>
          <w:szCs w:val="21"/>
          <w:highlight w:val="none"/>
        </w:rPr>
        <w:t>10mm</w:t>
      </w:r>
      <w:r>
        <w:rPr>
          <w:rFonts w:hint="eastAsia" w:ascii="宋体" w:hAnsi="宋体" w:cs="仿宋"/>
          <w:bCs/>
          <w:color w:val="auto"/>
          <w:kern w:val="0"/>
          <w:szCs w:val="21"/>
          <w:highlight w:val="none"/>
        </w:rPr>
        <w:t>，仪器由总包提供。</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楼层控制轴线必须用激光垂直仪引上并保证精度符合规范允许偏差，大角及竖向线条必须用激光垂直仪进行放线，并在施工完成的结构上弹竖向控制线。</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总包需配备合格资质的测量人员，并报详细的测量方案经发包人审核，以做好现场的测量及控制工作。</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总包必须控制好塔楼的结构垂直度，避免外墙抹灰厚度超厚，要求外墙抹灰厚度最厚处</w:t>
      </w:r>
      <w:r>
        <w:rPr>
          <w:rFonts w:ascii="宋体" w:hAnsi="宋体" w:cs="仿宋"/>
          <w:bCs/>
          <w:color w:val="auto"/>
          <w:kern w:val="0"/>
          <w:szCs w:val="21"/>
          <w:highlight w:val="none"/>
        </w:rPr>
        <w:t>不超过6cm</w:t>
      </w:r>
      <w:r>
        <w:rPr>
          <w:rFonts w:hint="eastAsia" w:ascii="宋体" w:hAnsi="宋体" w:cs="仿宋"/>
          <w:bCs/>
          <w:color w:val="auto"/>
          <w:kern w:val="0"/>
          <w:szCs w:val="21"/>
          <w:highlight w:val="none"/>
        </w:rPr>
        <w:t>。外墙抹灰厚度超过</w:t>
      </w:r>
      <w:r>
        <w:rPr>
          <w:rFonts w:ascii="宋体" w:hAnsi="宋体" w:cs="仿宋"/>
          <w:bCs/>
          <w:color w:val="auto"/>
          <w:kern w:val="0"/>
          <w:szCs w:val="21"/>
          <w:highlight w:val="none"/>
        </w:rPr>
        <w:t>3cm</w:t>
      </w:r>
      <w:r>
        <w:rPr>
          <w:rFonts w:hint="eastAsia" w:ascii="宋体" w:hAnsi="宋体" w:cs="仿宋"/>
          <w:bCs/>
          <w:color w:val="auto"/>
          <w:kern w:val="0"/>
          <w:szCs w:val="21"/>
          <w:highlight w:val="none"/>
        </w:rPr>
        <w:t>时必须分层挂网抹灰。</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所有楼层水平及竖向分隔线条必须随楼层一次性浇筑。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钢筋必须划线绑扎，严格按规范要求进行绑扎。所有绑扎点要求满扎严禁跳扎，每漏扎一处违约金</w:t>
      </w:r>
      <w:r>
        <w:rPr>
          <w:rFonts w:ascii="宋体" w:hAnsi="宋体" w:cs="仿宋"/>
          <w:bCs/>
          <w:color w:val="auto"/>
          <w:kern w:val="0"/>
          <w:szCs w:val="21"/>
          <w:highlight w:val="none"/>
        </w:rPr>
        <w:t>50</w:t>
      </w:r>
      <w:r>
        <w:rPr>
          <w:rFonts w:hint="eastAsia" w:ascii="宋体" w:hAnsi="宋体" w:cs="仿宋"/>
          <w:bCs/>
          <w:color w:val="auto"/>
          <w:kern w:val="0"/>
          <w:szCs w:val="21"/>
          <w:highlight w:val="none"/>
        </w:rPr>
        <w:t>元。</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楼层混凝土浇筑必须用布料机，铺设浇注跑道防止钢筋踩踏。</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底板、地库顶板、屋面、地库建筑面层砼浇筑时要求必须采用磨光机，以提高结构观感质量及自防水性能。</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地库建筑面层砼浇筑前要求采用地坪打凿机进行清理干净，经验收后方可施工。</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除采用水下砼外，总包任何砼浇筑时工作面不得有明显积水，否则每发现一次处以</w:t>
      </w:r>
      <w:r>
        <w:rPr>
          <w:rFonts w:ascii="宋体" w:hAnsi="宋体" w:cs="仿宋"/>
          <w:bCs/>
          <w:color w:val="auto"/>
          <w:kern w:val="0"/>
          <w:szCs w:val="21"/>
          <w:highlight w:val="none"/>
        </w:rPr>
        <w:t xml:space="preserve">5000 </w:t>
      </w:r>
      <w:r>
        <w:rPr>
          <w:rFonts w:hint="eastAsia" w:ascii="宋体" w:hAnsi="宋体" w:cs="仿宋"/>
          <w:bCs/>
          <w:color w:val="auto"/>
          <w:kern w:val="0"/>
          <w:szCs w:val="21"/>
          <w:highlight w:val="none"/>
        </w:rPr>
        <w:t>至</w:t>
      </w:r>
      <w:r>
        <w:rPr>
          <w:rFonts w:ascii="宋体" w:hAnsi="宋体" w:cs="仿宋"/>
          <w:bCs/>
          <w:color w:val="auto"/>
          <w:kern w:val="0"/>
          <w:szCs w:val="21"/>
          <w:highlight w:val="none"/>
        </w:rPr>
        <w:t xml:space="preserve">10000 </w:t>
      </w:r>
      <w:r>
        <w:rPr>
          <w:rFonts w:hint="eastAsia" w:ascii="宋体" w:hAnsi="宋体" w:cs="仿宋"/>
          <w:bCs/>
          <w:color w:val="auto"/>
          <w:kern w:val="0"/>
          <w:szCs w:val="21"/>
          <w:highlight w:val="none"/>
        </w:rPr>
        <w:t>元违约金。严禁直接往砼内加水，每发现一次处以</w:t>
      </w:r>
      <w:r>
        <w:rPr>
          <w:rFonts w:ascii="宋体" w:hAnsi="宋体" w:cs="仿宋"/>
          <w:bCs/>
          <w:color w:val="auto"/>
          <w:kern w:val="0"/>
          <w:szCs w:val="21"/>
          <w:highlight w:val="none"/>
        </w:rPr>
        <w:t>5000</w:t>
      </w:r>
      <w:r>
        <w:rPr>
          <w:rFonts w:hint="eastAsia" w:ascii="宋体" w:hAnsi="宋体" w:cs="仿宋"/>
          <w:bCs/>
          <w:color w:val="auto"/>
          <w:kern w:val="0"/>
          <w:szCs w:val="21"/>
          <w:highlight w:val="none"/>
        </w:rPr>
        <w:t>至</w:t>
      </w:r>
      <w:r>
        <w:rPr>
          <w:rFonts w:ascii="宋体" w:hAnsi="宋体" w:cs="仿宋"/>
          <w:bCs/>
          <w:color w:val="auto"/>
          <w:kern w:val="0"/>
          <w:szCs w:val="21"/>
          <w:highlight w:val="none"/>
        </w:rPr>
        <w:t>10000</w:t>
      </w:r>
      <w:r>
        <w:rPr>
          <w:rFonts w:hint="eastAsia" w:ascii="宋体" w:hAnsi="宋体" w:cs="仿宋"/>
          <w:bCs/>
          <w:color w:val="auto"/>
          <w:kern w:val="0"/>
          <w:szCs w:val="21"/>
          <w:highlight w:val="none"/>
        </w:rPr>
        <w:t>元违约金。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楼层烟道口周边设</w:t>
      </w:r>
      <w:r>
        <w:rPr>
          <w:rFonts w:ascii="宋体" w:hAnsi="宋体" w:cs="仿宋"/>
          <w:bCs/>
          <w:color w:val="auto"/>
          <w:kern w:val="0"/>
          <w:szCs w:val="21"/>
          <w:highlight w:val="none"/>
        </w:rPr>
        <w:t>100</w:t>
      </w:r>
      <w:r>
        <w:rPr>
          <w:rFonts w:hint="eastAsia" w:ascii="宋体" w:hAnsi="宋体" w:cs="仿宋"/>
          <w:bCs/>
          <w:color w:val="auto"/>
          <w:kern w:val="0"/>
          <w:szCs w:val="21"/>
          <w:highlight w:val="none"/>
        </w:rPr>
        <w:t>宽</w:t>
      </w:r>
      <w:r>
        <w:rPr>
          <w:rFonts w:ascii="宋体" w:hAnsi="宋体" w:cs="仿宋"/>
          <w:bCs/>
          <w:color w:val="auto"/>
          <w:kern w:val="0"/>
          <w:szCs w:val="21"/>
          <w:highlight w:val="none"/>
        </w:rPr>
        <w:t>200</w:t>
      </w:r>
      <w:r>
        <w:rPr>
          <w:rFonts w:hint="eastAsia" w:ascii="宋体" w:hAnsi="宋体" w:cs="仿宋"/>
          <w:bCs/>
          <w:color w:val="auto"/>
          <w:kern w:val="0"/>
          <w:szCs w:val="21"/>
          <w:highlight w:val="none"/>
        </w:rPr>
        <w:t>高混凝土反坎，随楼层混凝土一次性浇筑。另：各层电梯洞口、集水井边必须加砌</w:t>
      </w:r>
      <w:r>
        <w:rPr>
          <w:rFonts w:ascii="宋体" w:hAnsi="宋体" w:cs="仿宋"/>
          <w:bCs/>
          <w:color w:val="auto"/>
          <w:kern w:val="0"/>
          <w:szCs w:val="21"/>
          <w:highlight w:val="none"/>
        </w:rPr>
        <w:t>100宽200高砖反坎并砂浆批荡。</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出屋面女儿墙反梁、烟道口反坎、管井口反坎要求随楼面一次性浇筑，高度不少于</w:t>
      </w:r>
      <w:r>
        <w:rPr>
          <w:rFonts w:ascii="宋体" w:hAnsi="宋体" w:cs="仿宋"/>
          <w:bCs/>
          <w:color w:val="auto"/>
          <w:kern w:val="0"/>
          <w:szCs w:val="21"/>
          <w:highlight w:val="none"/>
        </w:rPr>
        <w:t>500</w:t>
      </w:r>
      <w:r>
        <w:rPr>
          <w:rFonts w:hint="eastAsia" w:ascii="宋体" w:hAnsi="宋体" w:cs="仿宋"/>
          <w:bCs/>
          <w:color w:val="auto"/>
          <w:kern w:val="0"/>
          <w:szCs w:val="21"/>
          <w:highlight w:val="none"/>
        </w:rPr>
        <w:t>。</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地库顶板面的砖砌外墙、管井墙体、迎土面墙体存在渗漏隐患的，要求采用</w:t>
      </w:r>
      <w:r>
        <w:rPr>
          <w:rFonts w:ascii="宋体" w:hAnsi="宋体" w:cs="仿宋"/>
          <w:bCs/>
          <w:color w:val="auto"/>
          <w:kern w:val="0"/>
          <w:szCs w:val="21"/>
          <w:highlight w:val="none"/>
        </w:rPr>
        <w:t>C20</w:t>
      </w:r>
      <w:r>
        <w:rPr>
          <w:rFonts w:hint="eastAsia" w:ascii="宋体" w:hAnsi="宋体" w:cs="仿宋"/>
          <w:bCs/>
          <w:color w:val="auto"/>
          <w:kern w:val="0"/>
          <w:szCs w:val="21"/>
          <w:highlight w:val="none"/>
        </w:rPr>
        <w:t>砼浇筑，不得采用砖砌体。</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砌体施工前，外墙、卫生间周边、水电管井周边浇筑混凝土挡水反坎，要求与上部墙体同宽，高度</w:t>
      </w:r>
      <w:r>
        <w:rPr>
          <w:rFonts w:ascii="宋体" w:hAnsi="宋体" w:cs="仿宋"/>
          <w:bCs/>
          <w:color w:val="auto"/>
          <w:kern w:val="0"/>
          <w:szCs w:val="21"/>
          <w:highlight w:val="none"/>
        </w:rPr>
        <w:t>200</w:t>
      </w:r>
      <w:r>
        <w:rPr>
          <w:rFonts w:hint="eastAsia" w:ascii="宋体" w:hAnsi="宋体" w:cs="仿宋"/>
          <w:bCs/>
          <w:color w:val="auto"/>
          <w:kern w:val="0"/>
          <w:szCs w:val="21"/>
          <w:highlight w:val="none"/>
        </w:rPr>
        <w:t>。</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卫生间的砖砌包管井，楼层结构面标高以下满浇</w:t>
      </w:r>
      <w:r>
        <w:rPr>
          <w:rFonts w:ascii="宋体" w:hAnsi="宋体" w:cs="仿宋"/>
          <w:bCs/>
          <w:color w:val="auto"/>
          <w:kern w:val="0"/>
          <w:szCs w:val="21"/>
          <w:highlight w:val="none"/>
        </w:rPr>
        <w:t>C20</w:t>
      </w:r>
      <w:r>
        <w:rPr>
          <w:rFonts w:hint="eastAsia" w:ascii="宋体" w:hAnsi="宋体" w:cs="仿宋"/>
          <w:bCs/>
          <w:color w:val="auto"/>
          <w:kern w:val="0"/>
          <w:szCs w:val="21"/>
          <w:highlight w:val="none"/>
        </w:rPr>
        <w:t>混凝土。</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门窗等过梁上部高度在</w:t>
      </w:r>
      <w:r>
        <w:rPr>
          <w:rFonts w:ascii="宋体" w:hAnsi="宋体" w:cs="仿宋"/>
          <w:bCs/>
          <w:color w:val="auto"/>
          <w:kern w:val="0"/>
          <w:szCs w:val="21"/>
          <w:highlight w:val="none"/>
        </w:rPr>
        <w:t xml:space="preserve">200 </w:t>
      </w:r>
      <w:r>
        <w:rPr>
          <w:rFonts w:hint="eastAsia" w:ascii="宋体" w:hAnsi="宋体" w:cs="仿宋"/>
          <w:bCs/>
          <w:color w:val="auto"/>
          <w:kern w:val="0"/>
          <w:szCs w:val="21"/>
          <w:highlight w:val="none"/>
        </w:rPr>
        <w:t>以内时，要求结构施工时采取与结构梁一次性浇筑。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楼层构造柱、圈梁、过梁必须按照设计要求并报方案经发包人审批后进行施工。</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宽度在</w:t>
      </w:r>
      <w:r>
        <w:rPr>
          <w:rFonts w:ascii="宋体" w:hAnsi="宋体" w:cs="仿宋"/>
          <w:bCs/>
          <w:color w:val="auto"/>
          <w:kern w:val="0"/>
          <w:szCs w:val="21"/>
          <w:highlight w:val="none"/>
        </w:rPr>
        <w:t>100</w:t>
      </w:r>
      <w:r>
        <w:rPr>
          <w:rFonts w:hint="eastAsia" w:ascii="宋体" w:hAnsi="宋体" w:cs="仿宋"/>
          <w:bCs/>
          <w:color w:val="auto"/>
          <w:kern w:val="0"/>
          <w:szCs w:val="21"/>
          <w:highlight w:val="none"/>
        </w:rPr>
        <w:t>以内的剪力墙边砖砌门垛要求采用</w:t>
      </w:r>
      <w:r>
        <w:rPr>
          <w:rFonts w:ascii="宋体" w:hAnsi="宋体" w:cs="仿宋"/>
          <w:bCs/>
          <w:color w:val="auto"/>
          <w:kern w:val="0"/>
          <w:szCs w:val="21"/>
          <w:highlight w:val="none"/>
        </w:rPr>
        <w:t>C20</w:t>
      </w:r>
      <w:r>
        <w:rPr>
          <w:rFonts w:hint="eastAsia" w:ascii="宋体" w:hAnsi="宋体" w:cs="仿宋"/>
          <w:bCs/>
          <w:color w:val="auto"/>
          <w:kern w:val="0"/>
          <w:szCs w:val="21"/>
          <w:highlight w:val="none"/>
        </w:rPr>
        <w:t>砼浇筑。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总包根据发包人要求做好已完分项工程的实测实量工作，配备专职检测员和检测仪器，要求</w:t>
      </w:r>
      <w:r>
        <w:rPr>
          <w:rFonts w:ascii="宋体" w:hAnsi="宋体" w:cs="仿宋"/>
          <w:bCs/>
          <w:color w:val="auto"/>
          <w:kern w:val="0"/>
          <w:szCs w:val="21"/>
          <w:highlight w:val="none"/>
        </w:rPr>
        <w:t>100%</w:t>
      </w:r>
      <w:r>
        <w:rPr>
          <w:rFonts w:hint="eastAsia" w:ascii="宋体" w:hAnsi="宋体" w:cs="仿宋"/>
          <w:bCs/>
          <w:color w:val="auto"/>
          <w:kern w:val="0"/>
          <w:szCs w:val="21"/>
          <w:highlight w:val="none"/>
        </w:rPr>
        <w:t>测量已完分项工程并现场标注，同时建立资料库做好记录，合格率要求达到</w:t>
      </w:r>
      <w:r>
        <w:rPr>
          <w:rFonts w:ascii="宋体" w:hAnsi="宋体" w:cs="仿宋"/>
          <w:bCs/>
          <w:color w:val="auto"/>
          <w:kern w:val="0"/>
          <w:szCs w:val="21"/>
          <w:highlight w:val="none"/>
        </w:rPr>
        <w:t>85%</w:t>
      </w:r>
      <w:r>
        <w:rPr>
          <w:rFonts w:hint="eastAsia" w:ascii="宋体" w:hAnsi="宋体" w:cs="仿宋"/>
          <w:bCs/>
          <w:color w:val="auto"/>
          <w:kern w:val="0"/>
          <w:szCs w:val="21"/>
          <w:highlight w:val="none"/>
        </w:rPr>
        <w:t>，有关实测实量要求详见发包人相关文件。如果发包人或监理抽查发现现场标注有弄虚作假现象，每次处以不低于</w:t>
      </w:r>
      <w:r>
        <w:rPr>
          <w:rFonts w:ascii="宋体" w:hAnsi="宋体" w:cs="仿宋"/>
          <w:bCs/>
          <w:color w:val="auto"/>
          <w:kern w:val="0"/>
          <w:szCs w:val="21"/>
          <w:highlight w:val="none"/>
        </w:rPr>
        <w:t>1000</w:t>
      </w:r>
      <w:r>
        <w:rPr>
          <w:rFonts w:hint="eastAsia" w:ascii="宋体" w:hAnsi="宋体" w:cs="仿宋"/>
          <w:bCs/>
          <w:color w:val="auto"/>
          <w:kern w:val="0"/>
          <w:szCs w:val="21"/>
          <w:highlight w:val="none"/>
        </w:rPr>
        <w:t>元违约金并要求更换该测量员或质检员。</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所有施工工序要求总包进行自检并将检查情况现场标注在工程实体上，不满足规范要求误差范围的要求立即进行整改或返工。自检或质检的内容包括但不仅限于：墙面平整度、垂直度、阴阳角方正度、内外墙门窗洞口尺寸、门窗洞口两边墙体厚度等。内外墙门窗洞口边必须弹设洞口顶及洞口两侧控制线，所有墙体边均需在地面弹设墙体控制线，天花底需弹设水平控制线。</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总包要求配备的实测实量工具包括但不仅限于：激光双向投线仪、靠尺、塞尺、电子游标卡尺、电子螺旋测微仪、板厚测量仪、手持测距仪等。</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总包应为做好砌筑质量制定相应措施并要求工人执行，保证每日砌筑高度不超过</w:t>
      </w:r>
      <w:r>
        <w:rPr>
          <w:rFonts w:ascii="宋体" w:hAnsi="宋体" w:cs="仿宋"/>
          <w:bCs/>
          <w:color w:val="auto"/>
          <w:kern w:val="0"/>
          <w:szCs w:val="21"/>
          <w:highlight w:val="none"/>
        </w:rPr>
        <w:t>1.8</w:t>
      </w:r>
      <w:r>
        <w:rPr>
          <w:rFonts w:hint="eastAsia" w:ascii="宋体" w:hAnsi="宋体" w:cs="仿宋"/>
          <w:bCs/>
          <w:color w:val="auto"/>
          <w:kern w:val="0"/>
          <w:szCs w:val="21"/>
          <w:highlight w:val="none"/>
        </w:rPr>
        <w:t>米，压顶砖在最上层砌体完成后至少</w:t>
      </w:r>
      <w:r>
        <w:rPr>
          <w:rFonts w:ascii="宋体" w:hAnsi="宋体" w:cs="仿宋"/>
          <w:bCs/>
          <w:color w:val="auto"/>
          <w:kern w:val="0"/>
          <w:szCs w:val="21"/>
          <w:highlight w:val="none"/>
        </w:rPr>
        <w:t>7</w:t>
      </w:r>
      <w:r>
        <w:rPr>
          <w:rFonts w:hint="eastAsia" w:ascii="宋体" w:hAnsi="宋体" w:cs="仿宋"/>
          <w:bCs/>
          <w:color w:val="auto"/>
          <w:kern w:val="0"/>
          <w:szCs w:val="21"/>
          <w:highlight w:val="none"/>
        </w:rPr>
        <w:t>天才能砌筑。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墙体完成后需开设槽、洞口时必须采用切割机切割，严禁使用锤头任意打凿，线管埋设后必须用水泥砂浆填满线槽至与砌体平，线槽位按照不同材料交界处处理要求加挂网。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厨房烟道必须满挂内墙钢丝网，且与周边墙体交接不少于</w:t>
      </w:r>
      <w:r>
        <w:rPr>
          <w:rFonts w:ascii="宋体" w:hAnsi="宋体" w:cs="仿宋"/>
          <w:bCs/>
          <w:color w:val="auto"/>
          <w:kern w:val="0"/>
          <w:szCs w:val="21"/>
          <w:highlight w:val="none"/>
        </w:rPr>
        <w:t xml:space="preserve">150 </w:t>
      </w:r>
      <w:r>
        <w:rPr>
          <w:rFonts w:hint="eastAsia" w:ascii="宋体" w:hAnsi="宋体" w:cs="仿宋"/>
          <w:bCs/>
          <w:color w:val="auto"/>
          <w:kern w:val="0"/>
          <w:szCs w:val="21"/>
          <w:highlight w:val="none"/>
        </w:rPr>
        <w:t>宽，以防止烟道抹灰开裂。</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外墙必须满挂钢丝网，任何</w:t>
      </w:r>
      <w:r>
        <w:rPr>
          <w:rFonts w:ascii="宋体" w:hAnsi="宋体" w:cs="仿宋"/>
          <w:bCs/>
          <w:color w:val="auto"/>
          <w:kern w:val="0"/>
          <w:szCs w:val="21"/>
          <w:highlight w:val="none"/>
        </w:rPr>
        <w:t>20㎡</w:t>
      </w:r>
      <w:r>
        <w:rPr>
          <w:rFonts w:hint="eastAsia" w:ascii="宋体" w:hAnsi="宋体" w:cs="仿宋"/>
          <w:bCs/>
          <w:color w:val="auto"/>
          <w:kern w:val="0"/>
          <w:szCs w:val="21"/>
          <w:highlight w:val="none"/>
        </w:rPr>
        <w:t>外墙不允许超过</w:t>
      </w:r>
      <w:r>
        <w:rPr>
          <w:rFonts w:ascii="宋体" w:hAnsi="宋体" w:cs="仿宋"/>
          <w:bCs/>
          <w:color w:val="auto"/>
          <w:kern w:val="0"/>
          <w:szCs w:val="21"/>
          <w:highlight w:val="none"/>
        </w:rPr>
        <w:t>2</w:t>
      </w:r>
      <w:r>
        <w:rPr>
          <w:rFonts w:hint="eastAsia" w:ascii="宋体" w:hAnsi="宋体" w:cs="仿宋"/>
          <w:bCs/>
          <w:color w:val="auto"/>
          <w:kern w:val="0"/>
          <w:szCs w:val="21"/>
          <w:highlight w:val="none"/>
        </w:rPr>
        <w:t>处钢丝网外露情况，任何一处钢丝网外露不允许超过</w:t>
      </w:r>
      <w:r>
        <w:rPr>
          <w:rFonts w:ascii="宋体" w:hAnsi="宋体" w:cs="仿宋"/>
          <w:bCs/>
          <w:color w:val="auto"/>
          <w:kern w:val="0"/>
          <w:szCs w:val="21"/>
          <w:highlight w:val="none"/>
        </w:rPr>
        <w:t>200</w:t>
      </w:r>
      <w:r>
        <w:rPr>
          <w:rFonts w:hint="eastAsia" w:ascii="宋体" w:hAnsi="宋体" w:cs="仿宋"/>
          <w:bCs/>
          <w:color w:val="auto"/>
          <w:kern w:val="0"/>
          <w:szCs w:val="21"/>
          <w:highlight w:val="none"/>
        </w:rPr>
        <w:t>×</w:t>
      </w:r>
      <w:r>
        <w:rPr>
          <w:rFonts w:ascii="宋体" w:hAnsi="宋体" w:cs="仿宋"/>
          <w:bCs/>
          <w:color w:val="auto"/>
          <w:kern w:val="0"/>
          <w:szCs w:val="21"/>
          <w:highlight w:val="none"/>
        </w:rPr>
        <w:t>200</w:t>
      </w:r>
      <w:r>
        <w:rPr>
          <w:rFonts w:hint="eastAsia" w:ascii="宋体" w:hAnsi="宋体" w:cs="仿宋"/>
          <w:bCs/>
          <w:color w:val="auto"/>
          <w:kern w:val="0"/>
          <w:szCs w:val="21"/>
          <w:highlight w:val="none"/>
        </w:rPr>
        <w:t>或</w:t>
      </w:r>
      <w:r>
        <w:rPr>
          <w:rFonts w:ascii="宋体" w:hAnsi="宋体" w:cs="仿宋"/>
          <w:bCs/>
          <w:color w:val="auto"/>
          <w:kern w:val="0"/>
          <w:szCs w:val="21"/>
          <w:highlight w:val="none"/>
        </w:rPr>
        <w:t>0.04㎡</w:t>
      </w:r>
      <w:r>
        <w:rPr>
          <w:rFonts w:hint="eastAsia" w:ascii="宋体" w:hAnsi="宋体" w:cs="仿宋"/>
          <w:bCs/>
          <w:color w:val="auto"/>
          <w:kern w:val="0"/>
          <w:szCs w:val="21"/>
          <w:highlight w:val="none"/>
        </w:rPr>
        <w:t>。内墙抹灰严禁钢丝网外露。</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卫生间混凝土墙以及存在渗漏隐患的混凝土墙螺栓孔洞在设置时需朝向室外，并采取措施有效封堵。迎水面螺杆洞要求打凿出喇叭口并采用防水砂浆满填，非迎水面可采用发泡胶满填。封堵不符合要求的处以每处</w:t>
      </w:r>
      <w:r>
        <w:rPr>
          <w:rFonts w:ascii="宋体" w:hAnsi="宋体" w:cs="仿宋"/>
          <w:bCs/>
          <w:color w:val="auto"/>
          <w:kern w:val="0"/>
          <w:szCs w:val="21"/>
          <w:highlight w:val="none"/>
        </w:rPr>
        <w:t>100</w:t>
      </w:r>
      <w:r>
        <w:rPr>
          <w:rFonts w:hint="eastAsia" w:ascii="宋体" w:hAnsi="宋体" w:cs="仿宋"/>
          <w:bCs/>
          <w:color w:val="auto"/>
          <w:kern w:val="0"/>
          <w:szCs w:val="21"/>
          <w:highlight w:val="none"/>
        </w:rPr>
        <w:t>元违约金。</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地下室混凝土墙、柱必须抹灰到板底，如果取消抹灰必须经过发包人书面同意，相应费用予以扣除。地下室天花不抹灰，要求采用楼层天花相同的刮灰做法。</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楼层天花不抹灰，其刮平的用材及配合比必须经过发包人和监理公司书面同意方可实施，要求水平度误差为</w:t>
      </w:r>
      <w:r>
        <w:rPr>
          <w:rFonts w:ascii="宋体" w:hAnsi="宋体" w:cs="仿宋"/>
          <w:bCs/>
          <w:color w:val="auto"/>
          <w:kern w:val="0"/>
          <w:szCs w:val="21"/>
          <w:highlight w:val="none"/>
        </w:rPr>
        <w:t>8mm</w:t>
      </w:r>
      <w:r>
        <w:rPr>
          <w:rFonts w:hint="eastAsia" w:ascii="宋体" w:hAnsi="宋体" w:cs="仿宋"/>
          <w:bCs/>
          <w:color w:val="auto"/>
          <w:kern w:val="0"/>
          <w:szCs w:val="21"/>
          <w:highlight w:val="none"/>
        </w:rPr>
        <w:t>以满足精装修要求。如果总包在发包人要求的期限内不能整改到以上要求，发包人有权委托其他单位（如精装修）进行处理，所发生的费用由总包承担。</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阳台及入户花园天花需进行抹灰前必须弹水平线，以保证抹灰完成面的水平度符合要求。</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所有砂浆必须集中在砂浆搅拌场进行搅拌，严禁在作业面人工搅拌，如有需要，在工作面使用成品灰斗等容器。内墙抹灰砂浆与外墙抹灰砂浆要求严格分开搅拌场，严禁不同砂浆场或砂浆机混用。禁止使用“砂浆王”，外墙砂浆严格按设计要求掺加防水材料。</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砂浆搅拌机处必须张挂明显、易于工人操作的配合比标牌。</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墙体保温砌块要求设防雨水的材料堆场，并确保不淋雨、不泡水。</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砌筑抹灰施工时要求抹灰完成后同一设计厚度的墙体宽度相同，宽度极差不超过</w:t>
      </w:r>
      <w:r>
        <w:rPr>
          <w:rFonts w:ascii="宋体" w:hAnsi="宋体" w:cs="仿宋"/>
          <w:bCs/>
          <w:color w:val="auto"/>
          <w:kern w:val="0"/>
          <w:szCs w:val="21"/>
          <w:highlight w:val="none"/>
        </w:rPr>
        <w:t>5mm</w:t>
      </w:r>
      <w:r>
        <w:rPr>
          <w:rFonts w:hint="eastAsia" w:ascii="宋体" w:hAnsi="宋体" w:cs="仿宋"/>
          <w:bCs/>
          <w:color w:val="auto"/>
          <w:kern w:val="0"/>
          <w:szCs w:val="21"/>
          <w:highlight w:val="none"/>
        </w:rPr>
        <w:t>。</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水电管井内封闭空间、风井、伸缩缝位置墙体要求随砌随抹。</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总包负责施工的设备用房、水电管井等要求总包必须做样板，样板确认后方可全面施工。</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回填土质量满足要求，不得带有垃圾、石块、砖块等，土质满足园林绿化种植要求。</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室外管道位置开挖后必须采用打夯机夯实，回填时不得野蛮作业，需做好对已施工管道的成品保护。</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总包施工的消防道路要求采用钢侧模，路面浇筑完成后用压纹机压好纹路。路面养护不少于</w:t>
      </w:r>
      <w:r>
        <w:rPr>
          <w:rFonts w:ascii="宋体" w:hAnsi="宋体" w:cs="仿宋"/>
          <w:bCs/>
          <w:color w:val="auto"/>
          <w:kern w:val="0"/>
          <w:szCs w:val="21"/>
          <w:highlight w:val="none"/>
        </w:rPr>
        <w:t>7</w:t>
      </w:r>
      <w:r>
        <w:rPr>
          <w:rFonts w:hint="eastAsia" w:ascii="宋体" w:hAnsi="宋体" w:cs="仿宋"/>
          <w:bCs/>
          <w:color w:val="auto"/>
          <w:kern w:val="0"/>
          <w:szCs w:val="21"/>
          <w:highlight w:val="none"/>
        </w:rPr>
        <w:t>天。</w:t>
      </w:r>
    </w:p>
    <w:p>
      <w:pPr>
        <w:numPr>
          <w:ilvl w:val="1"/>
          <w:numId w:val="16"/>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包施工的井盖要求平消防路面不得突出，考虑到园林绿化的美观要求，市政井的定位必须经过发包人的同意，且市政井盖必须配合园林绿化的堆坡造型及饰面分色进行定位，必要时需进行二次定位及高度调整，费用由总包承担。</w:t>
      </w:r>
    </w:p>
    <w:p>
      <w:pPr>
        <w:numPr>
          <w:ilvl w:val="1"/>
          <w:numId w:val="16"/>
        </w:numPr>
        <w:autoSpaceDE w:val="0"/>
        <w:autoSpaceDN w:val="0"/>
        <w:adjustRightInd w:val="0"/>
        <w:spacing w:line="360" w:lineRule="auto"/>
        <w:jc w:val="left"/>
        <w:rPr>
          <w:rFonts w:ascii="宋体" w:hAnsi="宋体" w:cs="FangSong,Bold"/>
          <w:bCs/>
          <w:color w:val="auto"/>
          <w:kern w:val="0"/>
          <w:szCs w:val="21"/>
          <w:highlight w:val="none"/>
        </w:rPr>
      </w:pPr>
      <w:r>
        <w:rPr>
          <w:rFonts w:ascii="宋体" w:hAnsi="宋体" w:cs="FangSong,Bold"/>
          <w:bCs/>
          <w:color w:val="auto"/>
          <w:kern w:val="0"/>
          <w:szCs w:val="21"/>
          <w:highlight w:val="none"/>
        </w:rPr>
        <w:t>总包须确保各栋电梯井道控制中线的准确、井道垂直度必须符合规范要求，若因井道中线以及井</w:t>
      </w:r>
      <w:r>
        <w:rPr>
          <w:rFonts w:hint="eastAsia" w:ascii="宋体" w:hAnsi="宋体" w:cs="FangSong,Bold"/>
          <w:bCs/>
          <w:color w:val="auto"/>
          <w:kern w:val="0"/>
          <w:szCs w:val="21"/>
          <w:highlight w:val="none"/>
        </w:rPr>
        <w:t>道垂直度偏差，造成电梯门位置调整以及电梯（楼梯）前室装修整改，整改费用由总包承担。（包含各售楼电梯机房完成后，电梯机房上下的井道中线以及垂直度必须保持一致。）</w:t>
      </w:r>
    </w:p>
    <w:p>
      <w:pPr>
        <w:numPr>
          <w:ilvl w:val="1"/>
          <w:numId w:val="16"/>
        </w:numPr>
        <w:autoSpaceDE w:val="0"/>
        <w:autoSpaceDN w:val="0"/>
        <w:adjustRightInd w:val="0"/>
        <w:spacing w:line="360" w:lineRule="auto"/>
        <w:ind w:left="1050" w:hanging="653"/>
        <w:jc w:val="left"/>
        <w:rPr>
          <w:rFonts w:ascii="宋体" w:hAnsi="宋体" w:cs="仿宋"/>
          <w:bCs/>
          <w:color w:val="auto"/>
          <w:kern w:val="0"/>
          <w:szCs w:val="21"/>
          <w:highlight w:val="none"/>
        </w:rPr>
      </w:pPr>
      <w:r>
        <w:rPr>
          <w:rFonts w:ascii="宋体" w:hAnsi="宋体" w:cs="仿宋"/>
          <w:bCs/>
          <w:color w:val="auto"/>
          <w:kern w:val="0"/>
          <w:szCs w:val="21"/>
          <w:highlight w:val="none"/>
        </w:rPr>
        <w:t>爬架：1、全砼外墙为爬架的应用创造条件，爬架是全砼外墙最优的配套工艺；2、爬架的应用为室外管网及园林施工穿插创造条件。</w:t>
      </w:r>
    </w:p>
    <w:p>
      <w:pPr>
        <w:autoSpaceDE w:val="0"/>
        <w:autoSpaceDN w:val="0"/>
        <w:adjustRightInd w:val="0"/>
        <w:ind w:firstLine="420" w:firstLineChars="200"/>
        <w:jc w:val="center"/>
        <w:rPr>
          <w:rFonts w:ascii="宋体" w:hAnsi="宋体" w:cs="仿宋"/>
          <w:color w:val="auto"/>
          <w:kern w:val="0"/>
          <w:highlight w:val="none"/>
        </w:rPr>
      </w:pPr>
      <w:r>
        <w:rPr>
          <w:color w:val="auto"/>
          <w:highlight w:val="none"/>
        </w:rPr>
        <w:drawing>
          <wp:inline distT="0" distB="0" distL="0" distR="0">
            <wp:extent cx="4238625" cy="2334895"/>
            <wp:effectExtent l="0" t="0" r="9525" b="8255"/>
            <wp:docPr id="2" name="图片 62" descr="C:\Users\ADMINI~1.SC-\AppData\Local\Temp\ksohtml\wpsD2E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2" descr="C:\Users\ADMINI~1.SC-\AppData\Local\Temp\ksohtml\wpsD2E4.tmp.png"/>
                    <pic:cNvPicPr>
                      <a:picLocks noChangeAspect="1" noChangeArrowheads="1"/>
                    </pic:cNvPicPr>
                  </pic:nvPicPr>
                  <pic:blipFill>
                    <a:blip r:embed="rId12" cstate="print"/>
                    <a:srcRect/>
                    <a:stretch>
                      <a:fillRect/>
                    </a:stretch>
                  </pic:blipFill>
                  <pic:spPr>
                    <a:xfrm>
                      <a:off x="0" y="0"/>
                      <a:ext cx="4238625" cy="2334895"/>
                    </a:xfrm>
                    <a:prstGeom prst="rect">
                      <a:avLst/>
                    </a:prstGeom>
                    <a:noFill/>
                    <a:ln w="9525">
                      <a:noFill/>
                      <a:miter lim="800000"/>
                      <a:headEnd/>
                      <a:tailEnd/>
                    </a:ln>
                  </pic:spPr>
                </pic:pic>
              </a:graphicData>
            </a:graphic>
          </wp:inline>
        </w:drawing>
      </w:r>
    </w:p>
    <w:p>
      <w:pPr>
        <w:autoSpaceDE w:val="0"/>
        <w:autoSpaceDN w:val="0"/>
        <w:adjustRightInd w:val="0"/>
        <w:spacing w:line="480" w:lineRule="exact"/>
        <w:ind w:firstLine="420" w:firstLineChars="200"/>
        <w:jc w:val="left"/>
        <w:rPr>
          <w:rFonts w:ascii="宋体" w:hAnsi="宋体" w:cs="仿宋"/>
          <w:color w:val="auto"/>
          <w:kern w:val="0"/>
          <w:highlight w:val="none"/>
        </w:rPr>
      </w:pPr>
      <w:r>
        <w:rPr>
          <w:rFonts w:hint="eastAsia" w:ascii="宋体" w:hAnsi="宋体" w:cs="仿宋"/>
          <w:color w:val="auto"/>
          <w:kern w:val="0"/>
          <w:highlight w:val="none"/>
        </w:rPr>
        <w:t>3）截水系统：拦截作业层的施工用水等污水，为结构穿插及装修穿插施工提供必要条件。</w:t>
      </w:r>
    </w:p>
    <w:p>
      <w:pPr>
        <w:autoSpaceDE w:val="0"/>
        <w:autoSpaceDN w:val="0"/>
        <w:adjustRightInd w:val="0"/>
        <w:ind w:firstLine="420" w:firstLineChars="200"/>
        <w:jc w:val="left"/>
        <w:rPr>
          <w:rFonts w:ascii="宋体" w:hAnsi="宋体" w:cs="仿宋"/>
          <w:color w:val="auto"/>
          <w:kern w:val="0"/>
          <w:highlight w:val="none"/>
        </w:rPr>
      </w:pPr>
      <w:r>
        <w:rPr>
          <w:color w:val="auto"/>
          <w:highlight w:val="none"/>
        </w:rPr>
        <w:drawing>
          <wp:inline distT="0" distB="0" distL="0" distR="0">
            <wp:extent cx="5419725" cy="2686050"/>
            <wp:effectExtent l="0" t="0" r="9525" b="0"/>
            <wp:docPr id="5" name="图片 5" descr="C:\Users\ADMINI~1.SC-\AppData\Local\Temp\ksohtml\wpsD2E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DMINI~1.SC-\AppData\Local\Temp\ksohtml\wpsD2E5.tmp.jpg"/>
                    <pic:cNvPicPr>
                      <a:picLocks noChangeAspect="1" noChangeArrowheads="1"/>
                    </pic:cNvPicPr>
                  </pic:nvPicPr>
                  <pic:blipFill>
                    <a:blip r:embed="rId13" cstate="print"/>
                    <a:srcRect/>
                    <a:stretch>
                      <a:fillRect/>
                    </a:stretch>
                  </pic:blipFill>
                  <pic:spPr>
                    <a:xfrm>
                      <a:off x="0" y="0"/>
                      <a:ext cx="5419725" cy="2686050"/>
                    </a:xfrm>
                    <a:prstGeom prst="rect">
                      <a:avLst/>
                    </a:prstGeom>
                    <a:noFill/>
                    <a:ln w="9525">
                      <a:noFill/>
                      <a:miter lim="800000"/>
                      <a:headEnd/>
                      <a:tailEnd/>
                    </a:ln>
                  </pic:spPr>
                </pic:pic>
              </a:graphicData>
            </a:graphic>
          </wp:inline>
        </w:drawing>
      </w:r>
    </w:p>
    <w:p>
      <w:pPr>
        <w:autoSpaceDE w:val="0"/>
        <w:autoSpaceDN w:val="0"/>
        <w:adjustRightInd w:val="0"/>
        <w:ind w:firstLine="422" w:firstLineChars="200"/>
        <w:jc w:val="center"/>
        <w:rPr>
          <w:rFonts w:ascii="宋体" w:hAnsi="宋体" w:cs="仿宋"/>
          <w:b/>
          <w:bCs/>
          <w:color w:val="auto"/>
          <w:kern w:val="0"/>
          <w:highlight w:val="none"/>
        </w:rPr>
      </w:pPr>
      <w:r>
        <w:rPr>
          <w:rFonts w:hint="eastAsia" w:ascii="宋体" w:hAnsi="宋体" w:cs="仿宋"/>
          <w:b/>
          <w:bCs/>
          <w:color w:val="auto"/>
          <w:kern w:val="0"/>
          <w:highlight w:val="none"/>
        </w:rPr>
        <w:t>楼层平面及截水</w:t>
      </w:r>
    </w:p>
    <w:p>
      <w:pPr>
        <w:autoSpaceDE w:val="0"/>
        <w:autoSpaceDN w:val="0"/>
        <w:adjustRightInd w:val="0"/>
        <w:ind w:firstLine="420" w:firstLineChars="200"/>
        <w:jc w:val="left"/>
        <w:rPr>
          <w:rFonts w:ascii="宋体" w:hAnsi="宋体" w:cs="仿宋"/>
          <w:b/>
          <w:bCs/>
          <w:color w:val="auto"/>
          <w:kern w:val="0"/>
          <w:highlight w:val="none"/>
        </w:rPr>
      </w:pPr>
      <w:r>
        <w:rPr>
          <w:color w:val="auto"/>
          <w:highlight w:val="none"/>
        </w:rPr>
        <w:drawing>
          <wp:inline distT="0" distB="0" distL="0" distR="0">
            <wp:extent cx="2667000" cy="2000250"/>
            <wp:effectExtent l="0" t="0" r="0" b="0"/>
            <wp:docPr id="7" name="图片 64" descr="C:\Users\ADMINI~1.SC-\AppData\Local\Temp\ksohtml\wpsD2E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4" descr="C:\Users\ADMINI~1.SC-\AppData\Local\Temp\ksohtml\wpsD2E6.tmp.jpg"/>
                    <pic:cNvPicPr>
                      <a:picLocks noChangeAspect="1" noChangeArrowheads="1"/>
                    </pic:cNvPicPr>
                  </pic:nvPicPr>
                  <pic:blipFill>
                    <a:blip r:embed="rId14" cstate="print"/>
                    <a:srcRect/>
                    <a:stretch>
                      <a:fillRect/>
                    </a:stretch>
                  </pic:blipFill>
                  <pic:spPr>
                    <a:xfrm>
                      <a:off x="0" y="0"/>
                      <a:ext cx="2667000" cy="2000250"/>
                    </a:xfrm>
                    <a:prstGeom prst="rect">
                      <a:avLst/>
                    </a:prstGeom>
                    <a:noFill/>
                    <a:ln w="9525">
                      <a:noFill/>
                      <a:miter lim="800000"/>
                      <a:headEnd/>
                      <a:tailEnd/>
                    </a:ln>
                  </pic:spPr>
                </pic:pic>
              </a:graphicData>
            </a:graphic>
          </wp:inline>
        </w:drawing>
      </w:r>
      <w:r>
        <w:rPr>
          <w:color w:val="auto"/>
          <w:highlight w:val="none"/>
        </w:rPr>
        <w:drawing>
          <wp:inline distT="0" distB="0" distL="0" distR="0">
            <wp:extent cx="2667000" cy="1990725"/>
            <wp:effectExtent l="0" t="0" r="0" b="9525"/>
            <wp:docPr id="33" name="图片 65" descr="C:\Users\ADMINI~1.SC-\AppData\Local\Temp\ksohtml\wpsD2E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5" descr="C:\Users\ADMINI~1.SC-\AppData\Local\Temp\ksohtml\wpsD2E7.tmp.jpg"/>
                    <pic:cNvPicPr>
                      <a:picLocks noChangeAspect="1" noChangeArrowheads="1"/>
                    </pic:cNvPicPr>
                  </pic:nvPicPr>
                  <pic:blipFill>
                    <a:blip r:embed="rId15" cstate="print"/>
                    <a:srcRect/>
                    <a:stretch>
                      <a:fillRect/>
                    </a:stretch>
                  </pic:blipFill>
                  <pic:spPr>
                    <a:xfrm>
                      <a:off x="0" y="0"/>
                      <a:ext cx="2667000" cy="1990725"/>
                    </a:xfrm>
                    <a:prstGeom prst="rect">
                      <a:avLst/>
                    </a:prstGeom>
                    <a:noFill/>
                    <a:ln w="9525">
                      <a:noFill/>
                      <a:miter lim="800000"/>
                      <a:headEnd/>
                      <a:tailEnd/>
                    </a:ln>
                  </pic:spPr>
                </pic:pic>
              </a:graphicData>
            </a:graphic>
          </wp:inline>
        </w:drawing>
      </w:r>
    </w:p>
    <w:p>
      <w:pPr>
        <w:autoSpaceDE w:val="0"/>
        <w:autoSpaceDN w:val="0"/>
        <w:adjustRightInd w:val="0"/>
        <w:ind w:firstLine="2108" w:firstLineChars="1000"/>
        <w:jc w:val="left"/>
        <w:rPr>
          <w:rFonts w:ascii="宋体" w:hAnsi="宋体" w:cs="仿宋"/>
          <w:b/>
          <w:bCs/>
          <w:color w:val="auto"/>
          <w:kern w:val="0"/>
          <w:highlight w:val="none"/>
        </w:rPr>
      </w:pPr>
      <w:r>
        <w:rPr>
          <w:rFonts w:hint="eastAsia" w:ascii="宋体" w:hAnsi="宋体" w:cs="仿宋"/>
          <w:b/>
          <w:bCs/>
          <w:color w:val="auto"/>
          <w:kern w:val="0"/>
          <w:highlight w:val="none"/>
        </w:rPr>
        <w:t>楼梯间截水                                    外墙截水</w:t>
      </w:r>
    </w:p>
    <w:p>
      <w:pPr>
        <w:autoSpaceDE w:val="0"/>
        <w:autoSpaceDN w:val="0"/>
        <w:adjustRightInd w:val="0"/>
        <w:spacing w:line="480" w:lineRule="exact"/>
        <w:ind w:firstLine="420" w:firstLineChars="200"/>
        <w:jc w:val="left"/>
        <w:rPr>
          <w:rFonts w:ascii="宋体" w:hAnsi="宋体" w:cs="仿宋"/>
          <w:color w:val="auto"/>
          <w:kern w:val="0"/>
          <w:highlight w:val="none"/>
        </w:rPr>
      </w:pPr>
      <w:r>
        <w:rPr>
          <w:rFonts w:hint="eastAsia" w:ascii="宋体" w:hAnsi="宋体" w:cs="仿宋"/>
          <w:color w:val="auto"/>
          <w:kern w:val="0"/>
          <w:highlight w:val="none"/>
        </w:rPr>
        <w:t>4）高精度自平整楼面：自平整楼面指在楼板混凝土浇筑阶段，通过工具及管控方法，在楼板混凝土凝固过程中，进行混凝土原浆整平与收光，使楼面各点标高相对1m 线偏差在±5mm 以内，以达到地砖薄贴效果。</w:t>
      </w:r>
    </w:p>
    <w:p>
      <w:pPr>
        <w:autoSpaceDE w:val="0"/>
        <w:autoSpaceDN w:val="0"/>
        <w:adjustRightInd w:val="0"/>
        <w:spacing w:line="480" w:lineRule="exact"/>
        <w:ind w:firstLine="420" w:firstLineChars="200"/>
        <w:jc w:val="left"/>
        <w:rPr>
          <w:rFonts w:ascii="宋体" w:hAnsi="宋体" w:cs="仿宋"/>
          <w:b/>
          <w:color w:val="auto"/>
          <w:kern w:val="0"/>
          <w:highlight w:val="none"/>
        </w:rPr>
      </w:pPr>
      <w:r>
        <w:rPr>
          <w:rFonts w:hint="eastAsia" w:ascii="宋体" w:hAnsi="宋体" w:cs="仿宋"/>
          <w:color w:val="auto"/>
          <w:kern w:val="0"/>
          <w:highlight w:val="none"/>
        </w:rPr>
        <w:t>5）全混凝土外墙铝合金窗：</w:t>
      </w:r>
      <w:r>
        <w:rPr>
          <w:rFonts w:hint="eastAsia" w:ascii="宋体" w:hAnsi="宋体" w:cs="仿宋"/>
          <w:b/>
          <w:color w:val="auto"/>
          <w:kern w:val="0"/>
          <w:highlight w:val="none"/>
        </w:rPr>
        <w:t>（不采用固定片工艺，用膨胀螺栓连接，换）</w:t>
      </w:r>
    </w:p>
    <w:p>
      <w:pPr>
        <w:pStyle w:val="2"/>
        <w:rPr>
          <w:color w:val="auto"/>
          <w:highlight w:val="none"/>
        </w:rPr>
      </w:pPr>
      <w:r>
        <w:rPr>
          <w:rFonts w:hint="eastAsia"/>
          <w:color w:val="auto"/>
          <w:highlight w:val="none"/>
        </w:rPr>
        <w:t xml:space="preserve">          </w:t>
      </w:r>
      <w:r>
        <w:rPr>
          <w:color w:val="auto"/>
          <w:highlight w:val="none"/>
        </w:rPr>
        <w:drawing>
          <wp:inline distT="0" distB="0" distL="114300" distR="114300">
            <wp:extent cx="4090035" cy="2709545"/>
            <wp:effectExtent l="0" t="0" r="5715" b="14605"/>
            <wp:docPr id="8" name="图片 8" descr="c07d41d779c83aa3552e4195774b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07d41d779c83aa3552e4195774b080"/>
                    <pic:cNvPicPr>
                      <a:picLocks noChangeAspect="1"/>
                    </pic:cNvPicPr>
                  </pic:nvPicPr>
                  <pic:blipFill>
                    <a:blip r:embed="rId16"/>
                    <a:stretch>
                      <a:fillRect/>
                    </a:stretch>
                  </pic:blipFill>
                  <pic:spPr>
                    <a:xfrm>
                      <a:off x="0" y="0"/>
                      <a:ext cx="4090035" cy="2709545"/>
                    </a:xfrm>
                    <a:prstGeom prst="rect">
                      <a:avLst/>
                    </a:prstGeom>
                  </pic:spPr>
                </pic:pic>
              </a:graphicData>
            </a:graphic>
          </wp:inline>
        </w:drawing>
      </w:r>
      <w:r>
        <w:rPr>
          <w:color w:val="auto"/>
          <w:highlight w:val="none"/>
        </w:rPr>
        <w:br w:type="page"/>
      </w:r>
    </w:p>
    <w:p>
      <w:pPr>
        <w:numPr>
          <w:ilvl w:val="1"/>
          <w:numId w:val="16"/>
        </w:numPr>
        <w:autoSpaceDE w:val="0"/>
        <w:autoSpaceDN w:val="0"/>
        <w:adjustRightInd w:val="0"/>
        <w:spacing w:line="360" w:lineRule="auto"/>
        <w:jc w:val="left"/>
        <w:rPr>
          <w:color w:val="auto"/>
          <w:highlight w:val="none"/>
        </w:rPr>
      </w:pPr>
      <w:r>
        <w:rPr>
          <w:rFonts w:hint="eastAsia" w:ascii="宋体" w:hAnsi="宋体"/>
          <w:color w:val="auto"/>
          <w:highlight w:val="none"/>
        </w:rPr>
        <w:t>机电工程质量保证要求</w:t>
      </w:r>
    </w:p>
    <w:tbl>
      <w:tblPr>
        <w:tblStyle w:val="62"/>
        <w:tblW w:w="8306" w:type="dxa"/>
        <w:jc w:val="center"/>
        <w:tblLayout w:type="fixed"/>
        <w:tblCellMar>
          <w:top w:w="0" w:type="dxa"/>
          <w:left w:w="108" w:type="dxa"/>
          <w:bottom w:w="0" w:type="dxa"/>
          <w:right w:w="108" w:type="dxa"/>
        </w:tblCellMar>
      </w:tblPr>
      <w:tblGrid>
        <w:gridCol w:w="1249"/>
        <w:gridCol w:w="3436"/>
        <w:gridCol w:w="3621"/>
      </w:tblGrid>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分项工程</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质量控制点</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质量控制措施</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施工准备</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材料计划、材料送审、施工方案</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及时、准确、认真编制</w:t>
            </w:r>
          </w:p>
        </w:tc>
      </w:tr>
      <w:tr>
        <w:tblPrEx>
          <w:tblCellMar>
            <w:top w:w="0" w:type="dxa"/>
            <w:left w:w="108" w:type="dxa"/>
            <w:bottom w:w="0" w:type="dxa"/>
            <w:right w:w="108" w:type="dxa"/>
          </w:tblCellMar>
        </w:tblPrEx>
        <w:trPr>
          <w:trHeight w:val="930" w:hRule="atLeast"/>
          <w:jc w:val="center"/>
        </w:trPr>
        <w:tc>
          <w:tcPr>
            <w:tcW w:w="8306" w:type="dxa"/>
            <w:gridSpan w:val="3"/>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电</w:t>
            </w:r>
            <w:r>
              <w:rPr>
                <w:color w:val="auto"/>
                <w:highlight w:val="none"/>
              </w:rPr>
              <w:t> </w:t>
            </w:r>
            <w:r>
              <w:rPr>
                <w:rFonts w:hint="eastAsia"/>
                <w:color w:val="auto"/>
                <w:highlight w:val="none"/>
              </w:rPr>
              <w:t>气</w:t>
            </w:r>
            <w:r>
              <w:rPr>
                <w:color w:val="auto"/>
                <w:highlight w:val="none"/>
              </w:rPr>
              <w:t> </w:t>
            </w:r>
            <w:r>
              <w:rPr>
                <w:rFonts w:hint="eastAsia"/>
                <w:color w:val="auto"/>
                <w:highlight w:val="none"/>
              </w:rPr>
              <w:t>工</w:t>
            </w:r>
            <w:r>
              <w:rPr>
                <w:color w:val="auto"/>
                <w:highlight w:val="none"/>
              </w:rPr>
              <w:t> </w:t>
            </w:r>
            <w:r>
              <w:rPr>
                <w:rFonts w:hint="eastAsia"/>
                <w:color w:val="auto"/>
                <w:highlight w:val="none"/>
              </w:rPr>
              <w:t>程</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结构预埋</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位置标高正确，线管保护层、漏埋、错埋、管路弯曲扁度</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确保按基准标高线施工，避免预埋的</w:t>
            </w:r>
            <w:r>
              <w:rPr>
                <w:color w:val="auto"/>
                <w:highlight w:val="none"/>
              </w:rPr>
              <w:t> </w:t>
            </w:r>
            <w:r>
              <w:rPr>
                <w:rFonts w:hint="eastAsia"/>
                <w:color w:val="auto"/>
                <w:highlight w:val="none"/>
              </w:rPr>
              <w:t>管路三层交叉，认真查阅图纸</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孔洞留设</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漏留、错留</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编制孔洞留洞图和留洞检查表</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桥架安装</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位置、标高正确与水管、风管间距正确，支架排列正确</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绘制综合图解决</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线槽安装</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位置间距正确，母线垂直，接头处封闭</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严格规范要求，认真检查，根据是气</w:t>
            </w:r>
            <w:r>
              <w:rPr>
                <w:color w:val="auto"/>
                <w:highlight w:val="none"/>
              </w:rPr>
              <w:t> </w:t>
            </w:r>
            <w:r>
              <w:rPr>
                <w:rFonts w:hint="eastAsia"/>
                <w:color w:val="auto"/>
                <w:highlight w:val="none"/>
              </w:rPr>
              <w:t>竖井图进行协调</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管路暗敷</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支架间距，与水管、风管间距正确，接线盒、过线盒接线正确，管路弯扁度</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严格规范要求，认真检查，消除通病</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管路明敷</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支吊架间距，与水管、风管间距正确，接线盒、过线盒接线正确，管路横竖直，管路弯扁度</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严格规范要求，认真检查，消除通病</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电缆敷设</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电缆平直、固定牢固、电缆弯扁度、电缆排列整齐、美观</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根据电缆排布图进行协调电缆按次序敷设</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器具安装</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器具固定方法正确，位置标高正确</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研究照明器具的安装方法，准确定位</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设备安装</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安装方法、位置标高正确</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制订专项施工方案</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调试</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绝缘摇测，全面开关动作可靠</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制订专项施工方案</w:t>
            </w:r>
          </w:p>
        </w:tc>
      </w:tr>
      <w:tr>
        <w:tblPrEx>
          <w:tblCellMar>
            <w:top w:w="0" w:type="dxa"/>
            <w:left w:w="108" w:type="dxa"/>
            <w:bottom w:w="0" w:type="dxa"/>
            <w:right w:w="108" w:type="dxa"/>
          </w:tblCellMar>
        </w:tblPrEx>
        <w:trPr>
          <w:trHeight w:val="930" w:hRule="atLeast"/>
          <w:jc w:val="center"/>
        </w:trPr>
        <w:tc>
          <w:tcPr>
            <w:tcW w:w="8306" w:type="dxa"/>
            <w:gridSpan w:val="3"/>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管</w:t>
            </w:r>
            <w:r>
              <w:rPr>
                <w:color w:val="auto"/>
                <w:highlight w:val="none"/>
              </w:rPr>
              <w:t> </w:t>
            </w:r>
            <w:r>
              <w:rPr>
                <w:rFonts w:hint="eastAsia"/>
                <w:color w:val="auto"/>
                <w:highlight w:val="none"/>
              </w:rPr>
              <w:t>道</w:t>
            </w:r>
            <w:r>
              <w:rPr>
                <w:color w:val="auto"/>
                <w:highlight w:val="none"/>
              </w:rPr>
              <w:t> </w:t>
            </w:r>
            <w:r>
              <w:rPr>
                <w:rFonts w:hint="eastAsia"/>
                <w:color w:val="auto"/>
                <w:highlight w:val="none"/>
              </w:rPr>
              <w:t>工</w:t>
            </w:r>
            <w:r>
              <w:rPr>
                <w:color w:val="auto"/>
                <w:highlight w:val="none"/>
              </w:rPr>
              <w:t> </w:t>
            </w:r>
            <w:r>
              <w:rPr>
                <w:rFonts w:hint="eastAsia"/>
                <w:color w:val="auto"/>
                <w:highlight w:val="none"/>
              </w:rPr>
              <w:t>程</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预留预埋</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孔洞位置、数量</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仔细审图，编制表格，逐个检查</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管道安装</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管道甩口，支吊架间距，铸铁管水泥捻口</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及时封堵，严格规范要求，认真检查</w:t>
            </w:r>
            <w:r>
              <w:rPr>
                <w:color w:val="auto"/>
                <w:highlight w:val="none"/>
              </w:rPr>
              <w:t> </w:t>
            </w:r>
            <w:r>
              <w:rPr>
                <w:rFonts w:hint="eastAsia"/>
                <w:color w:val="auto"/>
                <w:highlight w:val="none"/>
              </w:rPr>
              <w:t>，冬季防冻</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保温</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穿越隔墙、楼板处</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严格规范要求，认真检查</w:t>
            </w:r>
          </w:p>
        </w:tc>
      </w:tr>
      <w:tr>
        <w:tblPrEx>
          <w:tblCellMar>
            <w:top w:w="0" w:type="dxa"/>
            <w:left w:w="108" w:type="dxa"/>
            <w:bottom w:w="0" w:type="dxa"/>
            <w:right w:w="108" w:type="dxa"/>
          </w:tblCellMar>
        </w:tblPrEx>
        <w:trPr>
          <w:trHeight w:val="930" w:hRule="atLeast"/>
          <w:jc w:val="center"/>
        </w:trPr>
        <w:tc>
          <w:tcPr>
            <w:tcW w:w="1249" w:type="dxa"/>
            <w:tcBorders>
              <w:top w:val="single" w:color="000000" w:sz="6" w:space="0"/>
              <w:left w:val="single" w:color="000000" w:sz="6" w:space="0"/>
              <w:bottom w:val="single" w:color="000000" w:sz="6" w:space="0"/>
              <w:right w:val="single" w:color="000000" w:sz="6" w:space="0"/>
            </w:tcBorders>
            <w:vAlign w:val="center"/>
          </w:tcPr>
          <w:p>
            <w:pPr>
              <w:rPr>
                <w:color w:val="auto"/>
                <w:highlight w:val="none"/>
              </w:rPr>
            </w:pPr>
            <w:r>
              <w:rPr>
                <w:rFonts w:hint="eastAsia"/>
                <w:color w:val="auto"/>
                <w:highlight w:val="none"/>
              </w:rPr>
              <w:t>管道冲洗</w:t>
            </w:r>
          </w:p>
        </w:tc>
        <w:tc>
          <w:tcPr>
            <w:tcW w:w="3436"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断开设备联接，拆下阀部件</w:t>
            </w:r>
          </w:p>
        </w:tc>
        <w:tc>
          <w:tcPr>
            <w:tcW w:w="3621" w:type="dxa"/>
            <w:tcBorders>
              <w:top w:val="single" w:color="000000" w:sz="6" w:space="0"/>
              <w:left w:val="nil"/>
              <w:bottom w:val="single" w:color="000000" w:sz="6" w:space="0"/>
              <w:right w:val="single" w:color="000000" w:sz="6" w:space="0"/>
            </w:tcBorders>
            <w:vAlign w:val="center"/>
          </w:tcPr>
          <w:p>
            <w:pPr>
              <w:rPr>
                <w:color w:val="auto"/>
                <w:highlight w:val="none"/>
              </w:rPr>
            </w:pPr>
            <w:r>
              <w:rPr>
                <w:rFonts w:hint="eastAsia"/>
                <w:color w:val="auto"/>
                <w:highlight w:val="none"/>
              </w:rPr>
              <w:t>认真检查</w:t>
            </w:r>
          </w:p>
        </w:tc>
      </w:tr>
    </w:tbl>
    <w:p>
      <w:pPr>
        <w:pStyle w:val="714"/>
        <w:autoSpaceDE w:val="0"/>
        <w:autoSpaceDN w:val="0"/>
        <w:adjustRightInd w:val="0"/>
        <w:spacing w:line="360" w:lineRule="auto"/>
        <w:ind w:firstLineChars="0"/>
        <w:jc w:val="left"/>
        <w:rPr>
          <w:rFonts w:ascii="宋体" w:hAnsi="宋体" w:cs="FangSong,Bold"/>
          <w:bCs/>
          <w:color w:val="auto"/>
          <w:kern w:val="0"/>
          <w:szCs w:val="21"/>
          <w:highlight w:val="none"/>
        </w:rPr>
      </w:pPr>
    </w:p>
    <w:p>
      <w:pPr>
        <w:pStyle w:val="714"/>
        <w:numPr>
          <w:ilvl w:val="0"/>
          <w:numId w:val="7"/>
        </w:numPr>
        <w:autoSpaceDE w:val="0"/>
        <w:autoSpaceDN w:val="0"/>
        <w:adjustRightInd w:val="0"/>
        <w:spacing w:line="360" w:lineRule="auto"/>
        <w:ind w:firstLineChars="0"/>
        <w:jc w:val="left"/>
        <w:outlineLvl w:val="1"/>
        <w:rPr>
          <w:rFonts w:cs="仿宋"/>
          <w:b/>
          <w:bCs/>
          <w:color w:val="auto"/>
          <w:kern w:val="0"/>
          <w:szCs w:val="21"/>
          <w:highlight w:val="none"/>
          <w:u w:val="single"/>
        </w:rPr>
      </w:pPr>
      <w:r>
        <w:rPr>
          <w:rFonts w:hint="eastAsia" w:cs="仿宋"/>
          <w:b/>
          <w:bCs/>
          <w:color w:val="auto"/>
          <w:kern w:val="0"/>
          <w:szCs w:val="21"/>
          <w:highlight w:val="none"/>
          <w:u w:val="single"/>
        </w:rPr>
        <w:t>越秀地产第三方评估实测实量专项要求</w:t>
      </w:r>
    </w:p>
    <w:p>
      <w:pPr>
        <w:numPr>
          <w:ilvl w:val="1"/>
          <w:numId w:val="17"/>
        </w:numPr>
        <w:autoSpaceDE w:val="0"/>
        <w:autoSpaceDN w:val="0"/>
        <w:adjustRightInd w:val="0"/>
        <w:spacing w:line="360" w:lineRule="auto"/>
        <w:ind w:hanging="347"/>
        <w:jc w:val="left"/>
        <w:rPr>
          <w:rFonts w:ascii="宋体" w:hAnsi="宋体" w:cs="FangSong,Bold"/>
          <w:bCs/>
          <w:color w:val="auto"/>
          <w:kern w:val="0"/>
          <w:szCs w:val="21"/>
          <w:highlight w:val="none"/>
        </w:rPr>
      </w:pPr>
      <w:r>
        <w:rPr>
          <w:rFonts w:ascii="宋体" w:hAnsi="宋体" w:cs="仿宋"/>
          <w:color w:val="auto"/>
          <w:szCs w:val="21"/>
          <w:highlight w:val="none"/>
        </w:rPr>
        <w:t>概述</w:t>
      </w:r>
    </w:p>
    <w:p>
      <w:pPr>
        <w:numPr>
          <w:ilvl w:val="2"/>
          <w:numId w:val="0"/>
        </w:numPr>
        <w:tabs>
          <w:tab w:val="left" w:pos="5977"/>
        </w:tabs>
        <w:autoSpaceDE w:val="0"/>
        <w:autoSpaceDN w:val="0"/>
        <w:adjustRightInd w:val="0"/>
        <w:spacing w:line="360" w:lineRule="auto"/>
        <w:ind w:left="241"/>
        <w:rPr>
          <w:rFonts w:ascii="宋体" w:hAnsi="宋体" w:cs="仿宋"/>
          <w:bCs/>
          <w:color w:val="auto"/>
          <w:kern w:val="0"/>
          <w:szCs w:val="21"/>
          <w:highlight w:val="none"/>
        </w:rPr>
      </w:pPr>
      <w:r>
        <w:rPr>
          <w:rFonts w:hint="eastAsia" w:ascii="宋体" w:hAnsi="宋体" w:cs="仿宋"/>
          <w:bCs/>
          <w:color w:val="auto"/>
          <w:kern w:val="0"/>
          <w:szCs w:val="21"/>
          <w:highlight w:val="none"/>
        </w:rPr>
        <w:t>为促进实体质量、安全文明施工水平提升，承包人务必积极配合</w:t>
      </w:r>
      <w:r>
        <w:rPr>
          <w:rFonts w:ascii="宋体" w:hAnsi="宋体" w:cs="仿宋"/>
          <w:bCs/>
          <w:color w:val="auto"/>
          <w:kern w:val="0"/>
          <w:szCs w:val="21"/>
          <w:highlight w:val="none"/>
        </w:rPr>
        <w:t>越秀地产</w:t>
      </w:r>
      <w:r>
        <w:rPr>
          <w:rFonts w:hint="eastAsia" w:ascii="宋体" w:hAnsi="宋体" w:cs="仿宋"/>
          <w:bCs/>
          <w:color w:val="auto"/>
          <w:kern w:val="0"/>
          <w:szCs w:val="21"/>
          <w:highlight w:val="none"/>
        </w:rPr>
        <w:t>的</w:t>
      </w:r>
      <w:r>
        <w:rPr>
          <w:rFonts w:ascii="宋体" w:hAnsi="宋体" w:cs="仿宋"/>
          <w:bCs/>
          <w:color w:val="auto"/>
          <w:kern w:val="0"/>
          <w:szCs w:val="21"/>
          <w:highlight w:val="none"/>
        </w:rPr>
        <w:t>第三方评估中，</w:t>
      </w:r>
      <w:r>
        <w:rPr>
          <w:rFonts w:hint="eastAsia" w:ascii="宋体" w:hAnsi="宋体" w:cs="仿宋"/>
          <w:bCs/>
          <w:color w:val="auto"/>
          <w:kern w:val="0"/>
          <w:szCs w:val="21"/>
          <w:highlight w:val="none"/>
        </w:rPr>
        <w:t>如</w:t>
      </w:r>
      <w:r>
        <w:rPr>
          <w:rFonts w:ascii="宋体" w:hAnsi="宋体" w:cs="仿宋"/>
          <w:bCs/>
          <w:color w:val="auto"/>
          <w:kern w:val="0"/>
          <w:szCs w:val="21"/>
          <w:highlight w:val="none"/>
        </w:rPr>
        <w:t>综合得分8</w:t>
      </w:r>
      <w:r>
        <w:rPr>
          <w:rFonts w:hint="eastAsia" w:ascii="宋体" w:hAnsi="宋体" w:cs="仿宋"/>
          <w:bCs/>
          <w:color w:val="auto"/>
          <w:kern w:val="0"/>
          <w:szCs w:val="21"/>
          <w:highlight w:val="none"/>
        </w:rPr>
        <w:t>7</w:t>
      </w:r>
      <w:r>
        <w:rPr>
          <w:rFonts w:ascii="宋体" w:hAnsi="宋体" w:cs="仿宋"/>
          <w:bCs/>
          <w:color w:val="auto"/>
          <w:kern w:val="0"/>
          <w:szCs w:val="21"/>
          <w:highlight w:val="none"/>
        </w:rPr>
        <w:t>分以下（不含8</w:t>
      </w:r>
      <w:r>
        <w:rPr>
          <w:rFonts w:hint="eastAsia" w:ascii="宋体" w:hAnsi="宋体" w:cs="仿宋"/>
          <w:bCs/>
          <w:color w:val="auto"/>
          <w:kern w:val="0"/>
          <w:szCs w:val="21"/>
          <w:highlight w:val="none"/>
        </w:rPr>
        <w:t>7</w:t>
      </w:r>
      <w:r>
        <w:rPr>
          <w:rFonts w:ascii="宋体" w:hAnsi="宋体" w:cs="仿宋"/>
          <w:bCs/>
          <w:color w:val="auto"/>
          <w:kern w:val="0"/>
          <w:szCs w:val="21"/>
          <w:highlight w:val="none"/>
        </w:rPr>
        <w:t>分</w:t>
      </w:r>
      <w:r>
        <w:rPr>
          <w:rFonts w:hint="eastAsia" w:ascii="宋体" w:hAnsi="宋体" w:cs="仿宋"/>
          <w:bCs/>
          <w:color w:val="auto"/>
          <w:kern w:val="0"/>
          <w:szCs w:val="21"/>
          <w:highlight w:val="none"/>
        </w:rPr>
        <w:t>，或安全文明专项少于</w:t>
      </w:r>
      <w:r>
        <w:rPr>
          <w:rFonts w:ascii="宋体" w:hAnsi="宋体" w:cs="仿宋"/>
          <w:bCs/>
          <w:color w:val="auto"/>
          <w:kern w:val="0"/>
          <w:szCs w:val="21"/>
          <w:highlight w:val="none"/>
        </w:rPr>
        <w:t>8</w:t>
      </w:r>
      <w:r>
        <w:rPr>
          <w:rFonts w:hint="eastAsia" w:ascii="宋体" w:hAnsi="宋体" w:cs="仿宋"/>
          <w:bCs/>
          <w:color w:val="auto"/>
          <w:kern w:val="0"/>
          <w:szCs w:val="21"/>
          <w:highlight w:val="none"/>
        </w:rPr>
        <w:t>3</w:t>
      </w:r>
      <w:r>
        <w:rPr>
          <w:rFonts w:ascii="宋体" w:hAnsi="宋体" w:cs="仿宋"/>
          <w:bCs/>
          <w:color w:val="auto"/>
          <w:kern w:val="0"/>
          <w:szCs w:val="21"/>
          <w:highlight w:val="none"/>
        </w:rPr>
        <w:t>分</w:t>
      </w:r>
      <w:r>
        <w:rPr>
          <w:rFonts w:hint="eastAsia" w:ascii="宋体" w:hAnsi="宋体" w:cs="仿宋"/>
          <w:bCs/>
          <w:color w:val="auto"/>
          <w:kern w:val="0"/>
          <w:szCs w:val="21"/>
          <w:highlight w:val="none"/>
        </w:rPr>
        <w:t>）每次违约金5</w:t>
      </w:r>
      <w:r>
        <w:rPr>
          <w:rFonts w:ascii="宋体" w:hAnsi="宋体" w:cs="仿宋"/>
          <w:bCs/>
          <w:color w:val="auto"/>
          <w:kern w:val="0"/>
          <w:szCs w:val="21"/>
          <w:highlight w:val="none"/>
        </w:rPr>
        <w:t>万。</w:t>
      </w:r>
    </w:p>
    <w:p>
      <w:pPr>
        <w:numPr>
          <w:ilvl w:val="1"/>
          <w:numId w:val="17"/>
        </w:numPr>
        <w:autoSpaceDE w:val="0"/>
        <w:autoSpaceDN w:val="0"/>
        <w:adjustRightInd w:val="0"/>
        <w:spacing w:line="360" w:lineRule="auto"/>
        <w:ind w:hanging="347"/>
        <w:jc w:val="left"/>
        <w:rPr>
          <w:rFonts w:ascii="宋体" w:hAnsi="宋体" w:cs="仿宋"/>
          <w:b/>
          <w:color w:val="auto"/>
          <w:szCs w:val="21"/>
          <w:highlight w:val="none"/>
        </w:rPr>
      </w:pPr>
      <w:r>
        <w:rPr>
          <w:rFonts w:ascii="宋体" w:hAnsi="宋体" w:cs="仿宋"/>
          <w:color w:val="auto"/>
          <w:szCs w:val="21"/>
          <w:highlight w:val="none"/>
        </w:rPr>
        <w:t>实测实量原则</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完整原则：按分部、分项工程、检验批进行</w:t>
      </w:r>
      <w:r>
        <w:rPr>
          <w:rFonts w:ascii="宋体" w:hAnsi="宋体" w:cs="仿宋"/>
          <w:bCs/>
          <w:color w:val="auto"/>
          <w:kern w:val="0"/>
          <w:szCs w:val="21"/>
          <w:highlight w:val="none"/>
        </w:rPr>
        <w:t>100%全覆盖实测实量。</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可追溯原则：对实测实量的各项目标段结构层或房间的具体楼栋号、房号做好书面记录并存档。</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真实原则：测量数据应反映项目的真实质量，避免为了片面提高实测指标，而瞒报虚报。</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及时性原则：在各分部分项工程施工完成后，及时进行实测实量，避免出现修补后再进行此项工作，造成数据统计的延误和不真实。</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总结提升的原则；实测实量测量结束后由测量小组成员完成项目实测实量报告，并形成项目实测实量工作总结。总结要求：数据真实、总分析深入、对下一步的管理有计划和促进作用；以实测实量为突破点，探索深层次的质量管理。</w:t>
      </w:r>
    </w:p>
    <w:p>
      <w:pPr>
        <w:numPr>
          <w:ilvl w:val="1"/>
          <w:numId w:val="17"/>
        </w:numPr>
        <w:autoSpaceDE w:val="0"/>
        <w:autoSpaceDN w:val="0"/>
        <w:adjustRightInd w:val="0"/>
        <w:spacing w:line="360" w:lineRule="auto"/>
        <w:ind w:hanging="347"/>
        <w:jc w:val="left"/>
        <w:rPr>
          <w:rFonts w:ascii="宋体" w:hAnsi="宋体" w:cs="仿宋"/>
          <w:bCs/>
          <w:color w:val="auto"/>
          <w:kern w:val="0"/>
          <w:szCs w:val="21"/>
          <w:highlight w:val="none"/>
        </w:rPr>
      </w:pPr>
      <w:r>
        <w:rPr>
          <w:rFonts w:ascii="宋体" w:hAnsi="宋体" w:cs="仿宋"/>
          <w:bCs/>
          <w:color w:val="auto"/>
          <w:kern w:val="0"/>
          <w:szCs w:val="21"/>
          <w:highlight w:val="none"/>
        </w:rPr>
        <w:t>实测实量范围</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为保证检查的数据的代表性，结合我项目的特点，计划对以下分部分项工程进行实测实量：</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水平度：分天花水平度、地面水平度，以满足水平要求；</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方正度：墙体方正度（砌筑阶段、抹灰阶段），以满足空间方正要求；</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平整度：墙体平整度（批灰阶段、饰面阶段）、地面平整度（砌筑阶段、批灰阶段、饰面阶段、安装阶段）；</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垂直度：墙体垂直度（砌筑阶段、批灰阶段、饰面阶段、安装阶段）、门框＼窗框垂直度（安装阶段）；</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阴阳角：墙体阴阳角方正、墙体阴阳角直线度；</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开裂、空鼓：砼观感、楼板开裂、墙体开裂（砌筑阶段）、地面／墙体／天花开裂空鼓（抹灰、饰面阶段）。</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细部观感：接缝高低差、木地板接缝宽度、门扇留缝宽度、型材拼缝宽度、型材拼缝高低差。</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尺寸偏差：墙力墙柱尺寸偏差、楼板尺寸偏差、门窗洞口尺寸偏差、门窗墙厚尺寸偏差、开间进深尺寸偏差、室内净高尺寸偏差。</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防渗漏：防水层厚度偏差、防水反坎偏差。</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幕墙安装偏差：墙件质量、钢结构连接、立柱垂直度、缝宽偏差、幕墙平面度、幕墙保温及防火隔断封堵、胶缝观感。</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电气安装：包含底盒面板水平标高差、并列面板高低差、开关底盒离门口距离、电缆桥架接地、钢制接地线的焊接连接、金属非金属柔性导管敷设、电缆桥架</w:t>
      </w:r>
      <w:r>
        <w:rPr>
          <w:rFonts w:ascii="宋体" w:hAnsi="宋体" w:cs="仿宋"/>
          <w:bCs/>
          <w:color w:val="auto"/>
          <w:kern w:val="0"/>
          <w:szCs w:val="21"/>
          <w:highlight w:val="none"/>
        </w:rPr>
        <w:t>/线槽防火封堵/过变形缝及伸缩缝做法、强电缆线敷设、配电箱柜安装、灯具安装、插座接线相序、避雷针带安装、变配电室及配电间、仪表安装、消防探测器、摄像机安装、弱电桥架及线管安装、弱电线缆敷设及管线安装等内容。</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给排水及采暖：包含座便坑距偏差、排水管防臭、排水通气管安装、金属管道立管安装、给排水管道套管、卫生洁具安装、管道及设置保温、室内箱式消火栓安装偏差、雨污水管横管坡度偏差、排水塑料管道支吊架间距偏差、排水塑料管道伸缩节及阻火圈、给水水泵安装、水泵房设备的减震防噪等内容。</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通风与空调：包含防火阀排烟阀及其它风阀的安装、风管防晃支吊架安装、金属距型风管回固、风管导流片、不锈钢风管安装、风管漏风观感检查、空调水系统管道与设置保温、风系统保温、风机房设备的减震防噪、空调机房设备安装、风机盘管安装、空调水泵安装、制冷机组安装、测量冷凝水管道坡度、空调冷热水及冷却水水管窗墙或楼板套管、空调水系统管道与设备连接的柔性不锈钢及橡胶短管安装、空调水系统阀门安装、空调水系统管道的支吊架安装等内容。</w:t>
      </w:r>
    </w:p>
    <w:p>
      <w:pPr>
        <w:numPr>
          <w:ilvl w:val="1"/>
          <w:numId w:val="17"/>
        </w:numPr>
        <w:autoSpaceDE w:val="0"/>
        <w:autoSpaceDN w:val="0"/>
        <w:adjustRightInd w:val="0"/>
        <w:spacing w:line="360" w:lineRule="auto"/>
        <w:ind w:hanging="347"/>
        <w:jc w:val="left"/>
        <w:rPr>
          <w:rFonts w:ascii="宋体" w:hAnsi="宋体" w:cs="仿宋"/>
          <w:bCs/>
          <w:color w:val="auto"/>
          <w:kern w:val="0"/>
          <w:szCs w:val="21"/>
          <w:highlight w:val="none"/>
        </w:rPr>
      </w:pPr>
      <w:r>
        <w:rPr>
          <w:rFonts w:ascii="宋体" w:hAnsi="宋体" w:cs="仿宋"/>
          <w:bCs/>
          <w:color w:val="auto"/>
          <w:kern w:val="0"/>
          <w:szCs w:val="21"/>
          <w:highlight w:val="none"/>
        </w:rPr>
        <w:t>其它工程实测实量配合</w:t>
      </w:r>
    </w:p>
    <w:p>
      <w:pPr>
        <w:pStyle w:val="714"/>
        <w:autoSpaceDE w:val="0"/>
        <w:autoSpaceDN w:val="0"/>
        <w:adjustRightInd w:val="0"/>
        <w:spacing w:line="360" w:lineRule="auto"/>
        <w:ind w:left="592" w:firstLine="0" w:firstLineChars="0"/>
        <w:jc w:val="left"/>
        <w:rPr>
          <w:rFonts w:ascii="宋体" w:hAnsi="宋体" w:cs="FangSong,Bold"/>
          <w:b/>
          <w:bCs/>
          <w:color w:val="auto"/>
          <w:kern w:val="0"/>
          <w:szCs w:val="21"/>
          <w:highlight w:val="none"/>
          <w:u w:val="single"/>
        </w:rPr>
      </w:pPr>
      <w:r>
        <w:rPr>
          <w:rFonts w:hint="eastAsia" w:ascii="宋体" w:hAnsi="宋体" w:cs="仿宋"/>
          <w:bCs/>
          <w:color w:val="auto"/>
          <w:kern w:val="0"/>
          <w:szCs w:val="21"/>
          <w:highlight w:val="none"/>
        </w:rPr>
        <w:t>在其他专业分包（如：防水单位、铝窗单位、精装修单位等）进场后，同样要求各单位独立建立实测实量小组，并要求其严格按照国家有关规范及《越秀地产质量实测实量操作指引（住宅项目）》《越秀地产质量实测实量操作指引（商业及公建项目）》进行其相关工程的实测实量，承包人实测实量小组也将对其进行</w:t>
      </w:r>
      <w:r>
        <w:rPr>
          <w:rFonts w:ascii="宋体" w:hAnsi="宋体" w:cs="仿宋"/>
          <w:bCs/>
          <w:color w:val="auto"/>
          <w:kern w:val="0"/>
          <w:szCs w:val="21"/>
          <w:highlight w:val="none"/>
        </w:rPr>
        <w:t>20%的抽检，以保证其真实性，并将检测结果作为专业分包单位实测实量结果的一部分汇总上报监理及</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w:t>
      </w:r>
    </w:p>
    <w:p>
      <w:pPr>
        <w:spacing w:line="360" w:lineRule="auto"/>
        <w:rPr>
          <w:rFonts w:ascii="宋体" w:hAnsi="宋体"/>
          <w:bCs/>
          <w:color w:val="auto"/>
          <w:szCs w:val="21"/>
          <w:highlight w:val="none"/>
        </w:rPr>
      </w:pPr>
    </w:p>
    <w:p>
      <w:pPr>
        <w:pStyle w:val="714"/>
        <w:numPr>
          <w:ilvl w:val="0"/>
          <w:numId w:val="7"/>
        </w:numPr>
        <w:autoSpaceDE w:val="0"/>
        <w:autoSpaceDN w:val="0"/>
        <w:adjustRightInd w:val="0"/>
        <w:spacing w:line="360" w:lineRule="auto"/>
        <w:ind w:firstLineChars="0"/>
        <w:jc w:val="left"/>
        <w:outlineLvl w:val="1"/>
        <w:rPr>
          <w:rFonts w:ascii="宋体" w:hAnsi="宋体" w:cs="仿宋"/>
          <w:b/>
          <w:bCs/>
          <w:color w:val="auto"/>
          <w:kern w:val="0"/>
          <w:szCs w:val="21"/>
          <w:highlight w:val="none"/>
        </w:rPr>
      </w:pPr>
      <w:r>
        <w:rPr>
          <w:rFonts w:hint="eastAsia" w:ascii="宋体" w:hAnsi="宋体" w:cs="仿宋"/>
          <w:b/>
          <w:bCs/>
          <w:color w:val="auto"/>
          <w:kern w:val="0"/>
          <w:szCs w:val="21"/>
          <w:highlight w:val="none"/>
        </w:rPr>
        <w:t>销售配合服务保证措施</w:t>
      </w:r>
    </w:p>
    <w:p>
      <w:pPr>
        <w:pStyle w:val="135"/>
        <w:autoSpaceDE w:val="0"/>
        <w:autoSpaceDN w:val="0"/>
        <w:adjustRightInd w:val="0"/>
        <w:spacing w:line="360" w:lineRule="auto"/>
        <w:ind w:firstLine="218" w:firstLineChars="104"/>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9.1 </w:t>
      </w:r>
      <w:r>
        <w:rPr>
          <w:rFonts w:hint="eastAsia" w:ascii="宋体" w:hAnsi="宋体" w:cs="仿宋"/>
          <w:bCs/>
          <w:color w:val="auto"/>
          <w:kern w:val="0"/>
          <w:szCs w:val="21"/>
          <w:highlight w:val="none"/>
        </w:rPr>
        <w:t>人员保证措施</w:t>
      </w:r>
    </w:p>
    <w:p>
      <w:pPr>
        <w:pStyle w:val="135"/>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为了销售展示准时开放，由总包组织成立销售展示配合小组，项目经理为组长负责统筹领导，项目副经理为副组长，各楼栋工长为组员负责各自栋号的各项施工及与各分包的配合，确保在组织上明确分工，责任到人。</w:t>
      </w:r>
    </w:p>
    <w:tbl>
      <w:tblPr>
        <w:tblStyle w:val="62"/>
        <w:tblW w:w="95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2"/>
        <w:gridCol w:w="1707"/>
        <w:gridCol w:w="6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pPr>
              <w:spacing w:before="240" w:after="60" w:line="360" w:lineRule="auto"/>
              <w:jc w:val="center"/>
              <w:outlineLvl w:val="0"/>
              <w:rPr>
                <w:color w:val="auto"/>
                <w:szCs w:val="22"/>
                <w:highlight w:val="none"/>
              </w:rPr>
            </w:pPr>
            <w:bookmarkStart w:id="4" w:name="_Toc19568"/>
            <w:r>
              <w:rPr>
                <w:rFonts w:hint="eastAsia"/>
                <w:color w:val="auto"/>
                <w:szCs w:val="22"/>
                <w:highlight w:val="none"/>
              </w:rPr>
              <w:t>组长</w:t>
            </w:r>
            <w:bookmarkEnd w:id="4"/>
          </w:p>
        </w:tc>
        <w:tc>
          <w:tcPr>
            <w:tcW w:w="1707" w:type="dxa"/>
          </w:tcPr>
          <w:p>
            <w:pPr>
              <w:spacing w:before="240" w:after="60" w:line="360" w:lineRule="auto"/>
              <w:jc w:val="center"/>
              <w:outlineLvl w:val="0"/>
              <w:rPr>
                <w:color w:val="auto"/>
                <w:szCs w:val="22"/>
                <w:highlight w:val="none"/>
              </w:rPr>
            </w:pPr>
            <w:bookmarkStart w:id="5" w:name="_Toc3665"/>
            <w:r>
              <w:rPr>
                <w:rFonts w:hint="eastAsia"/>
                <w:color w:val="auto"/>
                <w:szCs w:val="22"/>
                <w:highlight w:val="none"/>
              </w:rPr>
              <w:t>项目经理</w:t>
            </w:r>
            <w:bookmarkEnd w:id="5"/>
          </w:p>
        </w:tc>
        <w:tc>
          <w:tcPr>
            <w:tcW w:w="6683" w:type="dxa"/>
          </w:tcPr>
          <w:p>
            <w:pPr>
              <w:spacing w:before="240" w:after="60" w:line="360" w:lineRule="auto"/>
              <w:jc w:val="center"/>
              <w:outlineLvl w:val="0"/>
              <w:rPr>
                <w:color w:val="auto"/>
                <w:szCs w:val="22"/>
                <w:highlight w:val="none"/>
              </w:rPr>
            </w:pPr>
            <w:bookmarkStart w:id="6" w:name="_Toc31818"/>
            <w:r>
              <w:rPr>
                <w:rFonts w:hint="eastAsia"/>
                <w:color w:val="auto"/>
                <w:szCs w:val="22"/>
                <w:highlight w:val="none"/>
              </w:rPr>
              <w:t>负责统筹领导，安排各项配合工作</w:t>
            </w:r>
            <w:bookmarkEnd w:id="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pPr>
              <w:spacing w:before="240" w:after="60" w:line="360" w:lineRule="auto"/>
              <w:jc w:val="center"/>
              <w:outlineLvl w:val="0"/>
              <w:rPr>
                <w:color w:val="auto"/>
                <w:szCs w:val="22"/>
                <w:highlight w:val="none"/>
              </w:rPr>
            </w:pPr>
            <w:bookmarkStart w:id="7" w:name="_Toc30013"/>
            <w:r>
              <w:rPr>
                <w:rFonts w:hint="eastAsia"/>
                <w:color w:val="auto"/>
                <w:szCs w:val="22"/>
                <w:highlight w:val="none"/>
              </w:rPr>
              <w:t>副组长</w:t>
            </w:r>
            <w:bookmarkEnd w:id="7"/>
          </w:p>
        </w:tc>
        <w:tc>
          <w:tcPr>
            <w:tcW w:w="1707" w:type="dxa"/>
          </w:tcPr>
          <w:p>
            <w:pPr>
              <w:spacing w:before="240" w:after="60" w:line="360" w:lineRule="auto"/>
              <w:jc w:val="center"/>
              <w:outlineLvl w:val="0"/>
              <w:rPr>
                <w:color w:val="auto"/>
                <w:szCs w:val="22"/>
                <w:highlight w:val="none"/>
              </w:rPr>
            </w:pPr>
            <w:bookmarkStart w:id="8" w:name="_Toc26814"/>
            <w:r>
              <w:rPr>
                <w:rFonts w:hint="eastAsia"/>
                <w:color w:val="auto"/>
                <w:szCs w:val="22"/>
                <w:highlight w:val="none"/>
              </w:rPr>
              <w:t>项目副经理</w:t>
            </w:r>
            <w:bookmarkEnd w:id="8"/>
          </w:p>
        </w:tc>
        <w:tc>
          <w:tcPr>
            <w:tcW w:w="6683" w:type="dxa"/>
          </w:tcPr>
          <w:p>
            <w:pPr>
              <w:spacing w:before="240" w:after="60" w:line="360" w:lineRule="auto"/>
              <w:jc w:val="center"/>
              <w:outlineLvl w:val="0"/>
              <w:rPr>
                <w:color w:val="auto"/>
                <w:szCs w:val="22"/>
                <w:highlight w:val="none"/>
              </w:rPr>
            </w:pPr>
            <w:bookmarkStart w:id="9" w:name="_Toc15969"/>
            <w:r>
              <w:rPr>
                <w:rFonts w:hint="eastAsia"/>
                <w:color w:val="auto"/>
                <w:szCs w:val="22"/>
                <w:highlight w:val="none"/>
              </w:rPr>
              <w:t>负责监督各项计划的落实情况，处理现场疑难问题</w:t>
            </w:r>
            <w:bookmarkEnd w:id="9"/>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2" w:type="dxa"/>
          </w:tcPr>
          <w:p>
            <w:pPr>
              <w:spacing w:before="240" w:after="60" w:line="360" w:lineRule="auto"/>
              <w:jc w:val="center"/>
              <w:outlineLvl w:val="0"/>
              <w:rPr>
                <w:color w:val="auto"/>
                <w:szCs w:val="22"/>
                <w:highlight w:val="none"/>
              </w:rPr>
            </w:pPr>
            <w:bookmarkStart w:id="10" w:name="_Toc2937"/>
            <w:r>
              <w:rPr>
                <w:rFonts w:hint="eastAsia"/>
                <w:color w:val="auto"/>
                <w:szCs w:val="22"/>
                <w:highlight w:val="none"/>
              </w:rPr>
              <w:t>组员</w:t>
            </w:r>
            <w:bookmarkEnd w:id="10"/>
          </w:p>
        </w:tc>
        <w:tc>
          <w:tcPr>
            <w:tcW w:w="1707" w:type="dxa"/>
          </w:tcPr>
          <w:p>
            <w:pPr>
              <w:spacing w:before="240" w:after="60" w:line="360" w:lineRule="auto"/>
              <w:jc w:val="center"/>
              <w:outlineLvl w:val="0"/>
              <w:rPr>
                <w:color w:val="auto"/>
                <w:szCs w:val="22"/>
                <w:highlight w:val="none"/>
              </w:rPr>
            </w:pPr>
            <w:bookmarkStart w:id="11" w:name="_Toc24282"/>
            <w:r>
              <w:rPr>
                <w:rFonts w:hint="eastAsia"/>
                <w:color w:val="auto"/>
                <w:szCs w:val="22"/>
                <w:highlight w:val="none"/>
              </w:rPr>
              <w:t>各楼栋工长</w:t>
            </w:r>
            <w:bookmarkEnd w:id="11"/>
          </w:p>
        </w:tc>
        <w:tc>
          <w:tcPr>
            <w:tcW w:w="6683" w:type="dxa"/>
          </w:tcPr>
          <w:p>
            <w:pPr>
              <w:spacing w:before="240" w:after="60" w:line="360" w:lineRule="auto"/>
              <w:jc w:val="center"/>
              <w:outlineLvl w:val="0"/>
              <w:rPr>
                <w:color w:val="auto"/>
                <w:szCs w:val="22"/>
                <w:highlight w:val="none"/>
              </w:rPr>
            </w:pPr>
            <w:bookmarkStart w:id="12" w:name="_Toc1700"/>
            <w:r>
              <w:rPr>
                <w:rFonts w:hint="eastAsia"/>
                <w:color w:val="auto"/>
                <w:szCs w:val="22"/>
                <w:highlight w:val="none"/>
              </w:rPr>
              <w:t>负责各区域计划的实施，配合各分包、班组的工作</w:t>
            </w:r>
            <w:bookmarkEnd w:id="12"/>
          </w:p>
        </w:tc>
      </w:tr>
    </w:tbl>
    <w:p>
      <w:pPr>
        <w:pStyle w:val="135"/>
        <w:autoSpaceDE w:val="0"/>
        <w:autoSpaceDN w:val="0"/>
        <w:adjustRightInd w:val="0"/>
        <w:spacing w:line="360" w:lineRule="auto"/>
        <w:ind w:firstLine="0" w:firstLineChars="0"/>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9.2 </w:t>
      </w:r>
      <w:r>
        <w:rPr>
          <w:rFonts w:hint="eastAsia" w:ascii="宋体" w:hAnsi="宋体" w:cs="仿宋"/>
          <w:bCs/>
          <w:color w:val="auto"/>
          <w:kern w:val="0"/>
          <w:szCs w:val="21"/>
          <w:highlight w:val="none"/>
        </w:rPr>
        <w:t>工期保证措施</w:t>
      </w:r>
    </w:p>
    <w:p>
      <w:pPr>
        <w:pStyle w:val="135"/>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为保证各项工序有序进行，发包人将以下措施：</w:t>
      </w:r>
    </w:p>
    <w:p>
      <w:pPr>
        <w:pStyle w:val="135"/>
        <w:numPr>
          <w:ilvl w:val="0"/>
          <w:numId w:val="18"/>
        </w:numPr>
        <w:autoSpaceDE w:val="0"/>
        <w:autoSpaceDN w:val="0"/>
        <w:adjustRightInd w:val="0"/>
        <w:spacing w:line="360" w:lineRule="auto"/>
        <w:ind w:left="840" w:hanging="420" w:firstLineChars="0"/>
        <w:jc w:val="left"/>
        <w:rPr>
          <w:rFonts w:ascii="宋体" w:hAnsi="宋体" w:cs="仿宋"/>
          <w:bCs/>
          <w:color w:val="auto"/>
          <w:kern w:val="0"/>
          <w:szCs w:val="21"/>
          <w:highlight w:val="none"/>
        </w:rPr>
      </w:pPr>
      <w:r>
        <w:rPr>
          <w:rFonts w:ascii="宋体" w:hAnsi="宋体" w:cs="仿宋"/>
          <w:bCs/>
          <w:color w:val="auto"/>
          <w:kern w:val="0"/>
          <w:szCs w:val="21"/>
          <w:highlight w:val="none"/>
        </w:rPr>
        <w:t>制定详细的施工进度计划，作为现场各项工作的指导纲要。确保工程按期交工，组织分段、分层、主体交叉作业，抓住关键工序，缩短施工工期。</w:t>
      </w:r>
    </w:p>
    <w:p>
      <w:pPr>
        <w:pStyle w:val="135"/>
        <w:numPr>
          <w:ilvl w:val="0"/>
          <w:numId w:val="18"/>
        </w:numPr>
        <w:autoSpaceDE w:val="0"/>
        <w:autoSpaceDN w:val="0"/>
        <w:adjustRightInd w:val="0"/>
        <w:spacing w:line="360" w:lineRule="auto"/>
        <w:ind w:left="840" w:hanging="420" w:firstLineChars="0"/>
        <w:jc w:val="left"/>
        <w:rPr>
          <w:rFonts w:ascii="宋体" w:hAnsi="宋体" w:cs="仿宋"/>
          <w:bCs/>
          <w:color w:val="auto"/>
          <w:kern w:val="0"/>
          <w:szCs w:val="21"/>
          <w:highlight w:val="none"/>
        </w:rPr>
      </w:pPr>
      <w:r>
        <w:rPr>
          <w:rFonts w:ascii="宋体" w:hAnsi="宋体" w:cs="仿宋"/>
          <w:bCs/>
          <w:color w:val="auto"/>
          <w:kern w:val="0"/>
          <w:szCs w:val="21"/>
          <w:highlight w:val="none"/>
        </w:rPr>
        <w:t>制定材料进场计划，加强材料管理。对工程所需各种材料，根据工程施工进度尽早提出计划，落实货源，及时进货，紧俏物资提前准备，杜绝停工待料现象，以保证工程顺利进行。施工所需各种材料由经理部统一负责采购、管理。进点后即迅速选择落实主要材料供应商，并签订供货合同明确双方职责。确保按时、按质提供所需材料。施工现场设置材料库，材料员根据施工计划将工地所需各种材料作一定数量的储备，杜绝停工待料现象的发生。</w:t>
      </w:r>
    </w:p>
    <w:p>
      <w:pPr>
        <w:pStyle w:val="135"/>
        <w:numPr>
          <w:ilvl w:val="0"/>
          <w:numId w:val="18"/>
        </w:numPr>
        <w:autoSpaceDE w:val="0"/>
        <w:autoSpaceDN w:val="0"/>
        <w:adjustRightInd w:val="0"/>
        <w:spacing w:line="360" w:lineRule="auto"/>
        <w:ind w:left="840" w:hanging="420" w:firstLineChars="0"/>
        <w:jc w:val="left"/>
        <w:rPr>
          <w:rFonts w:ascii="宋体" w:hAnsi="宋体" w:cs="仿宋"/>
          <w:bCs/>
          <w:color w:val="auto"/>
          <w:kern w:val="0"/>
          <w:szCs w:val="21"/>
          <w:highlight w:val="none"/>
        </w:rPr>
      </w:pPr>
      <w:r>
        <w:rPr>
          <w:rFonts w:ascii="宋体" w:hAnsi="宋体" w:cs="仿宋"/>
          <w:bCs/>
          <w:color w:val="auto"/>
          <w:kern w:val="0"/>
          <w:szCs w:val="21"/>
          <w:highlight w:val="none"/>
        </w:rPr>
        <w:t>落实工期承包责任制，项目部与各工序施工人员签订工期合同，在保证质量的前提下，对提前的予以奖励，对落后的实施惩罚，罚后有补救措施。</w:t>
      </w:r>
    </w:p>
    <w:p>
      <w:pPr>
        <w:pStyle w:val="135"/>
        <w:numPr>
          <w:ilvl w:val="0"/>
          <w:numId w:val="18"/>
        </w:numPr>
        <w:autoSpaceDE w:val="0"/>
        <w:autoSpaceDN w:val="0"/>
        <w:adjustRightInd w:val="0"/>
        <w:spacing w:line="360" w:lineRule="auto"/>
        <w:ind w:left="840" w:hanging="420" w:firstLineChars="0"/>
        <w:jc w:val="left"/>
        <w:rPr>
          <w:rFonts w:ascii="宋体" w:hAnsi="宋体" w:cs="仿宋"/>
          <w:bCs/>
          <w:color w:val="auto"/>
          <w:kern w:val="0"/>
          <w:szCs w:val="21"/>
          <w:highlight w:val="none"/>
        </w:rPr>
      </w:pPr>
      <w:r>
        <w:rPr>
          <w:rFonts w:ascii="宋体" w:hAnsi="宋体" w:cs="仿宋"/>
          <w:bCs/>
          <w:color w:val="auto"/>
          <w:kern w:val="0"/>
          <w:szCs w:val="21"/>
          <w:highlight w:val="none"/>
        </w:rPr>
        <w:t>各工长与分包管理人员、监理、</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每天下午下班前，在现场召开碰头会，对每天的工作情况进行总结，分析工程质量是否合格、现场施工人员、进度是否满足施工要求，如工人数量无法满足工期要求，立即要求施工班组增加人员，工人专业技能、素质不足者，立即撤换。</w:t>
      </w:r>
    </w:p>
    <w:p>
      <w:pPr>
        <w:pStyle w:val="135"/>
        <w:numPr>
          <w:ilvl w:val="0"/>
          <w:numId w:val="18"/>
        </w:numPr>
        <w:autoSpaceDE w:val="0"/>
        <w:autoSpaceDN w:val="0"/>
        <w:adjustRightInd w:val="0"/>
        <w:spacing w:line="360" w:lineRule="auto"/>
        <w:ind w:left="840" w:hanging="420" w:firstLineChars="0"/>
        <w:jc w:val="left"/>
        <w:rPr>
          <w:rFonts w:ascii="宋体" w:hAnsi="宋体" w:cs="仿宋"/>
          <w:bCs/>
          <w:color w:val="auto"/>
          <w:kern w:val="0"/>
          <w:szCs w:val="21"/>
          <w:highlight w:val="none"/>
        </w:rPr>
      </w:pPr>
      <w:r>
        <w:rPr>
          <w:rFonts w:ascii="宋体" w:hAnsi="宋体" w:cs="仿宋"/>
          <w:bCs/>
          <w:color w:val="auto"/>
          <w:kern w:val="0"/>
          <w:szCs w:val="21"/>
          <w:highlight w:val="none"/>
        </w:rPr>
        <w:t>每周由项目经理组织召开一次项目例会，对上周的工作进行总结，针对</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、监理提出的质量、进度问题做出相应的整改、调整总进度计划，并对下周的工作做统筹安排；会上听取各方意见、建议，全力满足</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、分包等各方提出的要求，配合各方施工，把销售展示工作放在首位。</w:t>
      </w: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现场协调及配合</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承包人施工场地布置时需综合考虑现场其他分包单位的情况进行总体布置，现场任何设置及调整必须经发包人审批同意。承包人需负责对其他分包单位的施工场地进行管理。</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应在地库封顶后应按照总控计划要求时间完成防水施工及土方回填，在土方回填时应对塔吊及人货梯周边需砌筑挡墙进行分隔，塔楼及人货梯周边应优先进行回填，以利于市政管道及消防道路的施工，为后续园林绿化施工创造条件。地库顶板后浇带在土方回填时不具备浇筑条件时，承包人需在后续带两侧砌筑灰砂砖挡墙，以保证土方顺利回填。上述内容费用包含在合同总价内。展示区范围回填土的挡土墙、室外综合管线需总包先施工并做好管道预留口临时封堵，后期室外全部施工时再进行接驳。</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承包人负责对所有进出场地车辆进行冲洗，包括其他分包单位车辆且不得向其收取任何费用，负责整个施工区域、生活及办公区内的清洁卫生，同时负责施工范围周边市政道路的清扫工作，费用包含在总报价中。</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承包人在现场合理位置设置容量足够的砖砌垃圾池以便于堆放施工垃圾，并负责定期将垃圾清运出场，任何情况下垃圾不得堆放或满出垃圾池以外，否则发包人将对承包人处以每次不少于</w:t>
      </w:r>
      <w:r>
        <w:rPr>
          <w:rFonts w:ascii="宋体" w:hAnsi="宋体" w:cs="仿宋"/>
          <w:bCs/>
          <w:color w:val="auto"/>
          <w:kern w:val="0"/>
          <w:szCs w:val="21"/>
          <w:highlight w:val="none"/>
        </w:rPr>
        <w:t xml:space="preserve">5000 </w:t>
      </w:r>
      <w:r>
        <w:rPr>
          <w:rFonts w:hint="eastAsia" w:ascii="宋体" w:hAnsi="宋体" w:cs="仿宋"/>
          <w:bCs/>
          <w:color w:val="auto"/>
          <w:kern w:val="0"/>
          <w:szCs w:val="21"/>
          <w:highlight w:val="none"/>
        </w:rPr>
        <w:t>元的违约金。垃圾池要求采用</w:t>
      </w:r>
      <w:r>
        <w:rPr>
          <w:rFonts w:ascii="宋体" w:hAnsi="宋体" w:cs="仿宋"/>
          <w:bCs/>
          <w:color w:val="auto"/>
          <w:kern w:val="0"/>
          <w:szCs w:val="21"/>
          <w:highlight w:val="none"/>
        </w:rPr>
        <w:t xml:space="preserve">240 </w:t>
      </w:r>
      <w:r>
        <w:rPr>
          <w:rFonts w:hint="eastAsia" w:ascii="宋体" w:hAnsi="宋体" w:cs="仿宋"/>
          <w:bCs/>
          <w:color w:val="auto"/>
          <w:kern w:val="0"/>
          <w:szCs w:val="21"/>
          <w:highlight w:val="none"/>
        </w:rPr>
        <w:t>灰砂砖墙砌筑，水泥砂浆抹面，高度不少于</w:t>
      </w:r>
      <w:r>
        <w:rPr>
          <w:rFonts w:ascii="宋体" w:hAnsi="宋体" w:cs="仿宋"/>
          <w:bCs/>
          <w:color w:val="auto"/>
          <w:kern w:val="0"/>
          <w:szCs w:val="21"/>
          <w:highlight w:val="none"/>
        </w:rPr>
        <w:t>1.5m</w:t>
      </w:r>
      <w:r>
        <w:rPr>
          <w:rFonts w:hint="eastAsia" w:ascii="宋体" w:hAnsi="宋体" w:cs="仿宋"/>
          <w:bCs/>
          <w:color w:val="auto"/>
          <w:kern w:val="0"/>
          <w:szCs w:val="21"/>
          <w:highlight w:val="none"/>
        </w:rPr>
        <w:t>，面积不小于</w:t>
      </w:r>
      <w:r>
        <w:rPr>
          <w:rFonts w:ascii="宋体" w:hAnsi="宋体" w:cs="仿宋"/>
          <w:bCs/>
          <w:color w:val="auto"/>
          <w:kern w:val="0"/>
          <w:szCs w:val="21"/>
          <w:highlight w:val="none"/>
        </w:rPr>
        <w:t>20</w:t>
      </w:r>
      <w:r>
        <w:rPr>
          <w:rFonts w:hint="eastAsia" w:ascii="宋体" w:hAnsi="宋体" w:cs="仿宋"/>
          <w:bCs/>
          <w:color w:val="auto"/>
          <w:kern w:val="0"/>
          <w:szCs w:val="21"/>
          <w:highlight w:val="none"/>
        </w:rPr>
        <w:t>平方米。</w:t>
      </w:r>
    </w:p>
    <w:p>
      <w:pPr>
        <w:numPr>
          <w:ilvl w:val="1"/>
          <w:numId w:val="19"/>
        </w:numPr>
        <w:autoSpaceDE w:val="0"/>
        <w:autoSpaceDN w:val="0"/>
        <w:adjustRightInd w:val="0"/>
        <w:spacing w:line="360" w:lineRule="auto"/>
        <w:ind w:hanging="630"/>
        <w:jc w:val="left"/>
        <w:rPr>
          <w:rFonts w:ascii="宋体" w:hAnsi="宋体" w:cs="FangSong,Bold"/>
          <w:bCs/>
          <w:color w:val="auto"/>
          <w:kern w:val="0"/>
          <w:szCs w:val="21"/>
          <w:highlight w:val="none"/>
        </w:rPr>
      </w:pPr>
      <w:r>
        <w:rPr>
          <w:rFonts w:hint="eastAsia" w:ascii="宋体" w:hAnsi="宋体" w:cs="FangSong,Bold"/>
          <w:bCs/>
          <w:color w:val="auto"/>
          <w:kern w:val="0"/>
          <w:szCs w:val="21"/>
          <w:highlight w:val="none"/>
        </w:rPr>
        <w:t>楼层及地库、</w:t>
      </w:r>
      <w:r>
        <w:rPr>
          <w:rFonts w:hint="eastAsia" w:ascii="宋体" w:hAnsi="宋体" w:cs="仿宋"/>
          <w:bCs/>
          <w:color w:val="auto"/>
          <w:kern w:val="0"/>
          <w:szCs w:val="21"/>
          <w:highlight w:val="none"/>
        </w:rPr>
        <w:t>首层</w:t>
      </w:r>
      <w:r>
        <w:rPr>
          <w:rFonts w:hint="eastAsia" w:ascii="宋体" w:hAnsi="宋体" w:cs="FangSong,Bold"/>
          <w:bCs/>
          <w:color w:val="auto"/>
          <w:kern w:val="0"/>
          <w:szCs w:val="21"/>
          <w:highlight w:val="none"/>
        </w:rPr>
        <w:t>其他分包单位施工产生的垃圾放至在承包人指定的堆放地点，由承包人负责外运出场</w:t>
      </w:r>
      <w:r>
        <w:rPr>
          <w:rFonts w:hint="eastAsia" w:ascii="宋体" w:hAnsi="宋体" w:cs="仿宋"/>
          <w:bCs/>
          <w:color w:val="auto"/>
          <w:kern w:val="0"/>
          <w:szCs w:val="21"/>
          <w:highlight w:val="none"/>
        </w:rPr>
        <w:t>。</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 </w:t>
      </w:r>
      <w:r>
        <w:rPr>
          <w:rFonts w:hint="eastAsia" w:ascii="宋体" w:hAnsi="宋体" w:cs="仿宋"/>
          <w:bCs/>
          <w:color w:val="auto"/>
          <w:kern w:val="0"/>
          <w:szCs w:val="21"/>
          <w:highlight w:val="none"/>
        </w:rPr>
        <w:t>严禁楼层垃圾直接抛运下楼，严禁垃圾倒入回填场地或混入回填土中，否则每发现一次发包人将对承包人处以不少于</w:t>
      </w:r>
      <w:r>
        <w:rPr>
          <w:rFonts w:ascii="宋体" w:hAnsi="宋体" w:cs="仿宋"/>
          <w:bCs/>
          <w:color w:val="auto"/>
          <w:kern w:val="0"/>
          <w:szCs w:val="21"/>
          <w:highlight w:val="none"/>
        </w:rPr>
        <w:t>10000</w:t>
      </w:r>
      <w:r>
        <w:rPr>
          <w:rFonts w:hint="eastAsia" w:ascii="宋体" w:hAnsi="宋体" w:cs="仿宋"/>
          <w:bCs/>
          <w:color w:val="auto"/>
          <w:kern w:val="0"/>
          <w:szCs w:val="21"/>
          <w:highlight w:val="none"/>
        </w:rPr>
        <w:t>元的违约金，并将垃圾全部清运出场外。</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浇注电梯安装后电梯底坑和电梯机房的底梁，并提供安装电梯层门所需的固定钢筋。</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墙体砌筑及抹灰完成后立即沿所有墙身满弹建筑</w:t>
      </w:r>
      <w:r>
        <w:rPr>
          <w:rFonts w:ascii="宋体" w:hAnsi="宋体" w:cs="仿宋"/>
          <w:bCs/>
          <w:color w:val="auto"/>
          <w:kern w:val="0"/>
          <w:szCs w:val="21"/>
          <w:highlight w:val="none"/>
        </w:rPr>
        <w:t>1</w:t>
      </w:r>
      <w:r>
        <w:rPr>
          <w:rFonts w:hint="eastAsia" w:ascii="宋体" w:hAnsi="宋体" w:cs="仿宋"/>
          <w:bCs/>
          <w:color w:val="auto"/>
          <w:kern w:val="0"/>
          <w:szCs w:val="21"/>
          <w:highlight w:val="none"/>
        </w:rPr>
        <w:t>米水平墨线，同时在楼层固定位置设置基准点并加以保护。</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线盒周边</w:t>
      </w:r>
      <w:r>
        <w:rPr>
          <w:rFonts w:ascii="宋体" w:hAnsi="宋体" w:cs="仿宋"/>
          <w:bCs/>
          <w:color w:val="auto"/>
          <w:kern w:val="0"/>
          <w:szCs w:val="21"/>
          <w:highlight w:val="none"/>
        </w:rPr>
        <w:t xml:space="preserve">300 </w:t>
      </w:r>
      <w:r>
        <w:rPr>
          <w:rFonts w:hint="eastAsia" w:ascii="宋体" w:hAnsi="宋体" w:cs="仿宋"/>
          <w:bCs/>
          <w:color w:val="auto"/>
          <w:kern w:val="0"/>
          <w:szCs w:val="21"/>
          <w:highlight w:val="none"/>
        </w:rPr>
        <w:t>范围内必须制作不少于</w:t>
      </w:r>
      <w:r>
        <w:rPr>
          <w:rFonts w:ascii="宋体" w:hAnsi="宋体" w:cs="仿宋"/>
          <w:bCs/>
          <w:color w:val="auto"/>
          <w:kern w:val="0"/>
          <w:szCs w:val="21"/>
          <w:highlight w:val="none"/>
        </w:rPr>
        <w:t xml:space="preserve">2 </w:t>
      </w:r>
      <w:r>
        <w:rPr>
          <w:rFonts w:hint="eastAsia" w:ascii="宋体" w:hAnsi="宋体" w:cs="仿宋"/>
          <w:bCs/>
          <w:color w:val="auto"/>
          <w:kern w:val="0"/>
          <w:szCs w:val="21"/>
          <w:highlight w:val="none"/>
        </w:rPr>
        <w:t>个抹灰完成面控制点（灰饼），保证抹灰完成面与线盒平；</w:t>
      </w:r>
      <w:r>
        <w:rPr>
          <w:rFonts w:hint="eastAsia" w:ascii="宋体" w:hAnsi="宋体" w:cs="FangSong,Bold"/>
          <w:bCs/>
          <w:color w:val="auto"/>
          <w:kern w:val="0"/>
          <w:szCs w:val="21"/>
          <w:highlight w:val="none"/>
        </w:rPr>
        <w:t>每层砌筑完成后，在阳台或露台栏杆与墙体交界处，每面必须设置至少一个抹灰完成面控制点（灰饼）。</w:t>
      </w:r>
      <w:r>
        <w:rPr>
          <w:rFonts w:hint="eastAsia" w:ascii="宋体" w:hAnsi="宋体" w:cs="仿宋"/>
          <w:bCs/>
          <w:color w:val="auto"/>
          <w:kern w:val="0"/>
          <w:szCs w:val="21"/>
          <w:highlight w:val="none"/>
        </w:rPr>
        <w:t>外墙抹灰完成后，立即完成窗边、门边设置水平墨线及竖向控制线。</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地库风机房、发电机房、水泵房、屋面风机、电梯机房基础等设备基础以及屋面管道砼包墩等均由承包人负责施工，按承包人提交的经发包人确认深化图纸为准。</w:t>
      </w:r>
    </w:p>
    <w:p>
      <w:pPr>
        <w:numPr>
          <w:ilvl w:val="1"/>
          <w:numId w:val="19"/>
        </w:numPr>
        <w:autoSpaceDE w:val="0"/>
        <w:autoSpaceDN w:val="0"/>
        <w:adjustRightInd w:val="0"/>
        <w:spacing w:line="360" w:lineRule="auto"/>
        <w:ind w:hanging="630"/>
        <w:jc w:val="left"/>
        <w:rPr>
          <w:rFonts w:ascii="宋体" w:hAnsi="宋体" w:cs="FangSong,Bold"/>
          <w:bCs/>
          <w:color w:val="auto"/>
          <w:kern w:val="0"/>
          <w:szCs w:val="21"/>
          <w:highlight w:val="none"/>
        </w:rPr>
      </w:pPr>
      <w:r>
        <w:rPr>
          <w:rFonts w:hint="eastAsia" w:ascii="宋体" w:hAnsi="宋体" w:cs="FangSong,Bold"/>
          <w:bCs/>
          <w:color w:val="auto"/>
          <w:kern w:val="0"/>
          <w:szCs w:val="21"/>
          <w:highlight w:val="none"/>
        </w:rPr>
        <w:t>承包人图纸之预留洞口的吊洞工作（包括安装图纸之预留洞口且土建图纸中未出现的吊洞工作）、电梯门洞由承包人负责；</w:t>
      </w:r>
      <w:r>
        <w:rPr>
          <w:rFonts w:hint="eastAsia" w:ascii="宋体" w:hAnsi="宋体" w:cs="仿宋"/>
          <w:bCs/>
          <w:color w:val="auto"/>
          <w:kern w:val="0"/>
          <w:szCs w:val="21"/>
          <w:highlight w:val="none"/>
        </w:rPr>
        <w:t>对于煤气、高低压配电、弱电等专项工程之预留洞口则由承包人封堵；对于出现渗漏洞位的修补，则由负责吊洞之责任单位负责。</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无偿提供已搭设的内架、外架及施工架供其他分包单位使用，不得收取任何费用。</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提供人防施工单位预埋施工的时候所需的钢管架，并预埋人防设备吊装所需的吊环等，费用包含在总价内。</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要求承包人做好对班组的培训和交底工作，要求每半个月做一次集中或分班组的培训工作，培训内容及签到册送监理备案。</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承包人工资发放必须建册直接发放到每个工人，要求每个工人签名领取，签名册报发包人备查。</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必须负责所承包范围工程的竣工资料的收集整理工作，包括组织协调其他分包单位竣工资料及时归档至承包人竣工资料内，竣工验收时一并移交当地政府部门，并按发包人要求移交发包人，费用已包含在合同总价内。承包人的责任包括但不仅限于以下方面：</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1</w:t>
      </w:r>
      <w:r>
        <w:rPr>
          <w:rFonts w:hint="eastAsia" w:ascii="宋体" w:hAnsi="宋体" w:cs="仿宋"/>
          <w:bCs/>
          <w:color w:val="auto"/>
          <w:kern w:val="0"/>
          <w:szCs w:val="21"/>
          <w:highlight w:val="none"/>
        </w:rPr>
        <w:t>）指导其他分包单位按当地政府部门要求以及发包人要求整理竣工资料，及时指正其错误。</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2</w:t>
      </w:r>
      <w:r>
        <w:rPr>
          <w:rFonts w:hint="eastAsia" w:ascii="宋体" w:hAnsi="宋体" w:cs="仿宋"/>
          <w:bCs/>
          <w:color w:val="auto"/>
          <w:kern w:val="0"/>
          <w:szCs w:val="21"/>
          <w:highlight w:val="none"/>
        </w:rPr>
        <w:t>）分包单位无符合要求资质时，以承包人公司名称进行竣工资料整理，承包人负责配合该分包单位资料的签字盖章手续，不得收取任何费用。</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3</w:t>
      </w:r>
      <w:r>
        <w:rPr>
          <w:rFonts w:hint="eastAsia" w:ascii="宋体" w:hAnsi="宋体" w:cs="仿宋"/>
          <w:bCs/>
          <w:color w:val="auto"/>
          <w:kern w:val="0"/>
          <w:szCs w:val="21"/>
          <w:highlight w:val="none"/>
        </w:rPr>
        <w:t>）竣工验收前做好档案预验收工作，竣工验收时向发包人移交竣工资料，其中：</w:t>
      </w:r>
      <w:r>
        <w:rPr>
          <w:rFonts w:hint="eastAsia" w:ascii="宋体" w:hAnsi="宋体" w:cs="宋体"/>
          <w:bCs/>
          <w:color w:val="auto"/>
          <w:kern w:val="0"/>
          <w:szCs w:val="21"/>
          <w:highlight w:val="none"/>
        </w:rPr>
        <w:t>原件一式五份，复印件一式二份，以及内容相同的电子版档案一式二份，声像档案一式二份。</w:t>
      </w:r>
      <w:r>
        <w:rPr>
          <w:rFonts w:hint="eastAsia" w:ascii="宋体" w:hAnsi="宋体" w:cs="仿宋"/>
          <w:bCs/>
          <w:color w:val="auto"/>
          <w:kern w:val="0"/>
          <w:szCs w:val="21"/>
          <w:highlight w:val="none"/>
        </w:rPr>
        <w:t>一套为移交档案馆资料，要求全部为原件，按当地档案馆及政府部门要求进行整理，其余为移交发包人的竣工资料，除符合当地档案馆及政府部门要求外，还必须按发包人要求完成。</w:t>
      </w:r>
    </w:p>
    <w:p>
      <w:pPr>
        <w:autoSpaceDE w:val="0"/>
        <w:autoSpaceDN w:val="0"/>
        <w:adjustRightInd w:val="0"/>
        <w:spacing w:line="360" w:lineRule="auto"/>
        <w:ind w:firstLine="420" w:firstLineChars="200"/>
        <w:jc w:val="left"/>
        <w:rPr>
          <w:rFonts w:ascii="宋体" w:hAnsi="宋体" w:cs="仿宋"/>
          <w:bCs/>
          <w:color w:val="auto"/>
          <w:kern w:val="0"/>
          <w:szCs w:val="21"/>
          <w:highlight w:val="none"/>
          <w:u w:val="singl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4</w:t>
      </w:r>
      <w:r>
        <w:rPr>
          <w:rFonts w:hint="eastAsia" w:ascii="宋体" w:hAnsi="宋体" w:cs="仿宋"/>
          <w:bCs/>
          <w:color w:val="auto"/>
          <w:kern w:val="0"/>
          <w:szCs w:val="21"/>
          <w:highlight w:val="none"/>
        </w:rPr>
        <w:t>）上述一套竣工资料必须在各单位工程报竣工验收前</w:t>
      </w:r>
      <w:r>
        <w:rPr>
          <w:rFonts w:ascii="宋体" w:hAnsi="宋体" w:cs="仿宋"/>
          <w:bCs/>
          <w:color w:val="auto"/>
          <w:kern w:val="0"/>
          <w:szCs w:val="21"/>
          <w:highlight w:val="none"/>
        </w:rPr>
        <w:t>15</w:t>
      </w:r>
      <w:r>
        <w:rPr>
          <w:rFonts w:hint="eastAsia" w:ascii="宋体" w:hAnsi="宋体" w:cs="仿宋"/>
          <w:bCs/>
          <w:color w:val="auto"/>
          <w:kern w:val="0"/>
          <w:szCs w:val="21"/>
          <w:highlight w:val="none"/>
        </w:rPr>
        <w:t>天完成整理交当地政府主管部门审查并在要求时间内完成资料整改，不得因资料原因影响工程竣工验收，否则将对投标人每延迟一天处以不少于一万元</w:t>
      </w:r>
      <w:r>
        <w:rPr>
          <w:rFonts w:ascii="宋体" w:hAnsi="宋体" w:cs="仿宋"/>
          <w:bCs/>
          <w:color w:val="auto"/>
          <w:kern w:val="0"/>
          <w:szCs w:val="21"/>
          <w:highlight w:val="none"/>
        </w:rPr>
        <w:t>/</w:t>
      </w:r>
      <w:r>
        <w:rPr>
          <w:rFonts w:hint="eastAsia" w:ascii="宋体" w:hAnsi="宋体" w:cs="仿宋"/>
          <w:bCs/>
          <w:color w:val="auto"/>
          <w:kern w:val="0"/>
          <w:szCs w:val="21"/>
          <w:highlight w:val="none"/>
        </w:rPr>
        <w:t>天的违约金</w:t>
      </w:r>
      <w:r>
        <w:rPr>
          <w:rFonts w:hint="eastAsia" w:ascii="宋体" w:hAnsi="宋体" w:cs="仿宋"/>
          <w:bCs/>
          <w:color w:val="auto"/>
          <w:kern w:val="0"/>
          <w:szCs w:val="21"/>
          <w:highlight w:val="none"/>
          <w:u w:val="single"/>
        </w:rPr>
        <w:t>。</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5</w:t>
      </w:r>
      <w:r>
        <w:rPr>
          <w:rFonts w:hint="eastAsia" w:ascii="宋体" w:hAnsi="宋体" w:cs="仿宋"/>
          <w:bCs/>
          <w:color w:val="auto"/>
          <w:kern w:val="0"/>
          <w:szCs w:val="21"/>
          <w:highlight w:val="none"/>
        </w:rPr>
        <w:t>）上述合格资料必须在工程竣工验收后一个月内移交发包人，否则发包人有权暂缓支付承包人工程款项，并对承包人处以不少于两万元的违约金。</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承包人人员配置必须满足发包人和规范相关要求，必须委派专职安全员、质检员、工长、施工员，且每栋塔楼不少于</w:t>
      </w:r>
      <w:r>
        <w:rPr>
          <w:rFonts w:ascii="宋体" w:hAnsi="宋体" w:cs="仿宋"/>
          <w:bCs/>
          <w:color w:val="auto"/>
          <w:kern w:val="0"/>
          <w:szCs w:val="21"/>
          <w:highlight w:val="none"/>
        </w:rPr>
        <w:t>1</w:t>
      </w:r>
      <w:r>
        <w:rPr>
          <w:rFonts w:hint="eastAsia" w:ascii="宋体" w:hAnsi="宋体" w:cs="仿宋"/>
          <w:bCs/>
          <w:color w:val="auto"/>
          <w:kern w:val="0"/>
          <w:szCs w:val="21"/>
          <w:highlight w:val="none"/>
        </w:rPr>
        <w:t>人。</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承包人所有人员必须持证上岗，对水平能力不能满足现场施工及发包人要求时，发包人有权要求承包人立即进行更换，承包人在接到发包人更换通知的三天内完成人员更换。</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承包人项目经理、生产经理、技术总负责不得随意离开现场，如果需要离开时间超过</w:t>
      </w:r>
      <w:r>
        <w:rPr>
          <w:rFonts w:ascii="宋体" w:hAnsi="宋体" w:cs="仿宋"/>
          <w:bCs/>
          <w:color w:val="auto"/>
          <w:kern w:val="0"/>
          <w:szCs w:val="21"/>
          <w:highlight w:val="none"/>
        </w:rPr>
        <w:t>1</w:t>
      </w:r>
      <w:r>
        <w:rPr>
          <w:rFonts w:hint="eastAsia" w:ascii="宋体" w:hAnsi="宋体" w:cs="仿宋"/>
          <w:bCs/>
          <w:color w:val="auto"/>
          <w:kern w:val="0"/>
          <w:szCs w:val="21"/>
          <w:highlight w:val="none"/>
        </w:rPr>
        <w:t>天（含</w:t>
      </w:r>
      <w:r>
        <w:rPr>
          <w:rFonts w:ascii="宋体" w:hAnsi="宋体" w:cs="仿宋"/>
          <w:bCs/>
          <w:color w:val="auto"/>
          <w:kern w:val="0"/>
          <w:szCs w:val="21"/>
          <w:highlight w:val="none"/>
        </w:rPr>
        <w:t>1</w:t>
      </w:r>
      <w:r>
        <w:rPr>
          <w:rFonts w:hint="eastAsia" w:ascii="宋体" w:hAnsi="宋体" w:cs="仿宋"/>
          <w:bCs/>
          <w:color w:val="auto"/>
          <w:kern w:val="0"/>
          <w:szCs w:val="21"/>
          <w:highlight w:val="none"/>
        </w:rPr>
        <w:t>天）的必须向发包人请假，获得批准后方可离开。否则发包人将对无故离开的个人处以不少于</w:t>
      </w:r>
      <w:r>
        <w:rPr>
          <w:rFonts w:ascii="宋体" w:hAnsi="宋体" w:cs="仿宋"/>
          <w:bCs/>
          <w:color w:val="auto"/>
          <w:kern w:val="0"/>
          <w:szCs w:val="21"/>
          <w:highlight w:val="none"/>
        </w:rPr>
        <w:t>500</w:t>
      </w:r>
      <w:r>
        <w:rPr>
          <w:rFonts w:hint="eastAsia" w:ascii="宋体" w:hAnsi="宋体" w:cs="仿宋"/>
          <w:bCs/>
          <w:color w:val="auto"/>
          <w:kern w:val="0"/>
          <w:szCs w:val="21"/>
          <w:highlight w:val="none"/>
        </w:rPr>
        <w:t>元/人</w:t>
      </w:r>
      <w:r>
        <w:rPr>
          <w:rFonts w:ascii="宋体" w:hAnsi="宋体" w:cs="仿宋"/>
          <w:bCs/>
          <w:color w:val="auto"/>
          <w:kern w:val="0"/>
          <w:szCs w:val="21"/>
          <w:highlight w:val="none"/>
        </w:rPr>
        <w:t>/</w:t>
      </w:r>
      <w:r>
        <w:rPr>
          <w:rFonts w:hint="eastAsia" w:ascii="宋体" w:hAnsi="宋体" w:cs="仿宋"/>
          <w:bCs/>
          <w:color w:val="auto"/>
          <w:kern w:val="0"/>
          <w:szCs w:val="21"/>
          <w:highlight w:val="none"/>
        </w:rPr>
        <w:t>天的违约金。</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现场要配备足够的现场管理人员，如果现场管理人员明显不足，影响到现场的正常施工，发包人有权要求总包增加管理人员，承包人接到发包人通知，三天内人员必须到位。</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承包人项目经理、生产经理、技术负责人、安全主管必须准时参加每周一次的工程例会及其他专题会议，无故迟到、不参加会议的，发包人将处以不少于</w:t>
      </w:r>
      <w:r>
        <w:rPr>
          <w:rFonts w:ascii="宋体" w:hAnsi="宋体" w:cs="仿宋"/>
          <w:bCs/>
          <w:color w:val="auto"/>
          <w:kern w:val="0"/>
          <w:szCs w:val="21"/>
          <w:highlight w:val="none"/>
        </w:rPr>
        <w:t>500</w:t>
      </w:r>
      <w:r>
        <w:rPr>
          <w:rFonts w:hint="eastAsia" w:ascii="宋体" w:hAnsi="宋体" w:cs="仿宋"/>
          <w:bCs/>
          <w:color w:val="auto"/>
          <w:kern w:val="0"/>
          <w:szCs w:val="21"/>
          <w:highlight w:val="none"/>
        </w:rPr>
        <w:t>元</w:t>
      </w:r>
      <w:r>
        <w:rPr>
          <w:rFonts w:ascii="宋体" w:hAnsi="宋体" w:cs="仿宋"/>
          <w:bCs/>
          <w:color w:val="auto"/>
          <w:kern w:val="0"/>
          <w:szCs w:val="21"/>
          <w:highlight w:val="none"/>
        </w:rPr>
        <w:t>/</w:t>
      </w:r>
      <w:r>
        <w:rPr>
          <w:rFonts w:hint="eastAsia" w:ascii="宋体" w:hAnsi="宋体" w:cs="仿宋"/>
          <w:bCs/>
          <w:color w:val="auto"/>
          <w:kern w:val="0"/>
          <w:szCs w:val="21"/>
          <w:highlight w:val="none"/>
        </w:rPr>
        <w:t>人次的违约金。对恶意多次不参加会议的承包人上述主要管理人员，发包人将要求承包人立即进行更换。</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外墙施工期间，如由于外架连墙杆影响铝窗和栏杆施工，由承包人负责改造，不得要求分包单位自行拆改，费用包含在配合费内。</w:t>
      </w:r>
    </w:p>
    <w:p>
      <w:pPr>
        <w:numPr>
          <w:ilvl w:val="1"/>
          <w:numId w:val="19"/>
        </w:numPr>
        <w:autoSpaceDE w:val="0"/>
        <w:autoSpaceDN w:val="0"/>
        <w:adjustRightInd w:val="0"/>
        <w:spacing w:line="360" w:lineRule="auto"/>
        <w:ind w:hanging="630"/>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承包人需要承担配合政府部门安监、质检验收所需相关费用。</w:t>
      </w: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外架搭设和外架安全管理要求</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olor w:val="auto"/>
          <w:szCs w:val="21"/>
          <w:highlight w:val="none"/>
        </w:rPr>
        <w:t xml:space="preserve">11.1  </w:t>
      </w:r>
      <w:r>
        <w:rPr>
          <w:rFonts w:ascii="宋体" w:hAnsi="宋体"/>
          <w:color w:val="auto"/>
          <w:szCs w:val="21"/>
          <w:highlight w:val="none"/>
        </w:rPr>
        <w:t>脚手架走道外侧需设置踢脚板，高度不小于180mm</w:t>
      </w:r>
      <w:r>
        <w:rPr>
          <w:rFonts w:hint="eastAsia" w:ascii="宋体" w:hAnsi="宋体"/>
          <w:color w:val="auto"/>
          <w:szCs w:val="21"/>
          <w:highlight w:val="none"/>
        </w:rPr>
        <w:t>。施工操作层应围网封闭，脚手架的钢管必须除锈油漆。主要出入口及沿楼通道应设防护棚（高层为双层），脚手架、安全网必须按规范选材、搭设和验收。脚手架验收合格并形成验收记录,需将合格牌挂在脚手架外侧显眼处。</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 xml:space="preserve">11.2  </w:t>
      </w:r>
      <w:r>
        <w:rPr>
          <w:rFonts w:ascii="宋体" w:hAnsi="宋体" w:cs="仿宋"/>
          <w:bCs/>
          <w:color w:val="auto"/>
          <w:kern w:val="0"/>
          <w:szCs w:val="21"/>
          <w:highlight w:val="none"/>
        </w:rPr>
        <w:t>严禁使用竹架板作为脚踏板，必须满铺钢筋网片并绑扎牢靠。</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olor w:val="auto"/>
          <w:szCs w:val="21"/>
          <w:highlight w:val="none"/>
        </w:rPr>
      </w:pPr>
      <w:r>
        <w:rPr>
          <w:rFonts w:hint="eastAsia" w:ascii="宋体" w:hAnsi="宋体" w:cs="仿宋"/>
          <w:bCs/>
          <w:color w:val="auto"/>
          <w:kern w:val="0"/>
          <w:szCs w:val="21"/>
          <w:highlight w:val="none"/>
        </w:rPr>
        <w:t xml:space="preserve">11.3  </w:t>
      </w:r>
      <w:r>
        <w:rPr>
          <w:rFonts w:hint="eastAsia" w:ascii="宋体" w:hAnsi="宋体"/>
          <w:color w:val="auto"/>
          <w:szCs w:val="21"/>
          <w:highlight w:val="none"/>
        </w:rPr>
        <w:t>外架要求设置安全楼梯，且搭设必须满足规范要求，梯段踏步板优先采用成品。</w:t>
      </w:r>
    </w:p>
    <w:p>
      <w:pPr>
        <w:numPr>
          <w:ilvl w:val="1"/>
          <w:numId w:val="0"/>
        </w:numPr>
        <w:tabs>
          <w:tab w:val="left" w:pos="840"/>
        </w:tabs>
        <w:autoSpaceDE w:val="0"/>
        <w:autoSpaceDN w:val="0"/>
        <w:adjustRightInd w:val="0"/>
        <w:spacing w:line="360" w:lineRule="auto"/>
        <w:ind w:left="814" w:leftChars="95" w:hanging="615" w:hangingChars="293"/>
        <w:jc w:val="left"/>
        <w:rPr>
          <w:rFonts w:ascii="宋体" w:hAnsi="宋体"/>
          <w:color w:val="auto"/>
          <w:szCs w:val="21"/>
          <w:highlight w:val="none"/>
        </w:rPr>
      </w:pPr>
      <w:r>
        <w:rPr>
          <w:rFonts w:hint="eastAsia" w:ascii="宋体" w:hAnsi="宋体"/>
          <w:color w:val="auto"/>
          <w:szCs w:val="21"/>
          <w:highlight w:val="none"/>
        </w:rPr>
        <w:t>11.4  外架除满足安全要求外，还需搭设规矩美观，杆件横平竖直、间距均匀，外架安全网、踢脚板必须为全新材料，钢管必须调直并刷好油漆。</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11.5. </w:t>
      </w:r>
      <w:r>
        <w:rPr>
          <w:rFonts w:hint="eastAsia" w:ascii="宋体" w:hAnsi="宋体" w:cs="仿宋"/>
          <w:bCs/>
          <w:color w:val="auto"/>
          <w:kern w:val="0"/>
          <w:szCs w:val="21"/>
          <w:highlight w:val="none"/>
        </w:rPr>
        <w:t>外脚手架以及安全楼梯的进度必须与工程进度一致，任何时候保证施工面都有不低于</w:t>
      </w:r>
      <w:r>
        <w:rPr>
          <w:rFonts w:ascii="宋体" w:hAnsi="宋体" w:cs="仿宋"/>
          <w:bCs/>
          <w:color w:val="auto"/>
          <w:kern w:val="0"/>
          <w:szCs w:val="21"/>
          <w:highlight w:val="none"/>
        </w:rPr>
        <w:t>2</w:t>
      </w:r>
      <w:r>
        <w:rPr>
          <w:rFonts w:hint="eastAsia" w:ascii="宋体" w:hAnsi="宋体" w:cs="仿宋"/>
          <w:bCs/>
          <w:color w:val="auto"/>
          <w:kern w:val="0"/>
          <w:szCs w:val="21"/>
          <w:highlight w:val="none"/>
        </w:rPr>
        <w:t>米的防护高度。</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11.6. </w:t>
      </w:r>
      <w:r>
        <w:rPr>
          <w:rFonts w:hint="eastAsia" w:ascii="宋体" w:hAnsi="宋体" w:cs="仿宋"/>
          <w:bCs/>
          <w:color w:val="auto"/>
          <w:kern w:val="0"/>
          <w:szCs w:val="21"/>
          <w:highlight w:val="none"/>
        </w:rPr>
        <w:t>外架连墙杆严禁采用柔性连接，不得采用预埋钢筋的形式，必须采用在结构梁内埋设钢管形式。</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11.7  屋面构架外架搭设不与女儿墙外架连接；所产生之悬挑费用包含在合同内。</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11.8  承包人外架搭设应考虑发包人样板房的需要，脚手架的设置必须满足发包人对样板房以及销售环境的要求，外架悬挑因发包人样板房设置要求需进行调整的，费用由承包人承担不予增加。</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11.9  若发包人选择高层样板房展示时，样板房所在楼层以下外架必须在发包人样板房开放以前完成所有外饰面工作并经过清洗完成，并完成外架拆除，具体时间要求以发包人书面通知为准。验收前最后一次搭设、拆架以及清洗外墙费用包含其中。</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11.10 严禁外架及外立面作业时坠物伤人，开放区主人行通道必须搭设安全通道，包括至各栋样板房的首层安全通道，塔楼周边道路必要时也需搭设安全通道，存在坠物安全隐患的立面还必须按规范要求搭设安全挑棚，外架底层挑棚宽度不小于</w:t>
      </w:r>
      <w:r>
        <w:rPr>
          <w:rFonts w:ascii="宋体" w:hAnsi="宋体" w:cs="仿宋"/>
          <w:bCs/>
          <w:color w:val="auto"/>
          <w:kern w:val="0"/>
          <w:szCs w:val="21"/>
          <w:highlight w:val="none"/>
        </w:rPr>
        <w:t>6</w:t>
      </w:r>
      <w:r>
        <w:rPr>
          <w:rFonts w:hint="eastAsia" w:ascii="宋体" w:hAnsi="宋体" w:cs="仿宋"/>
          <w:bCs/>
          <w:color w:val="auto"/>
          <w:kern w:val="0"/>
          <w:szCs w:val="21"/>
          <w:highlight w:val="none"/>
        </w:rPr>
        <w:t>米。安全通道及防护棚样板符合发包人售楼的美观要求，承包人报方案发包人审批同意后施工。</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11.11 要求做好样板房楼层、售楼部及开放区的防水防渗漏工作，在售楼部、样板房楼层的上一层须全层做防水措施，并进行试水。严禁水流至上述区域，承包人需制定专门的防水及处理措施，相关费用由承包人承担。</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11.12 外墙分段施工时外架要求水平方向必须采用硬质材料进行全封闭。</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11.13 外架具备拆除条件时要求及时拆除，配备足够的外架人员以满足外架拆除进度要求，已拆除的外架材料要求及时清运出场不得在现场长时间堆放。除特殊情况外，已拆除的外架材料不得在现场堆放超过</w:t>
      </w:r>
      <w:r>
        <w:rPr>
          <w:rFonts w:ascii="宋体" w:hAnsi="宋体" w:cs="仿宋"/>
          <w:bCs/>
          <w:color w:val="auto"/>
          <w:kern w:val="0"/>
          <w:szCs w:val="21"/>
          <w:highlight w:val="none"/>
        </w:rPr>
        <w:t>2</w:t>
      </w:r>
      <w:r>
        <w:rPr>
          <w:rFonts w:hint="eastAsia" w:ascii="宋体" w:hAnsi="宋体" w:cs="仿宋"/>
          <w:bCs/>
          <w:color w:val="auto"/>
          <w:kern w:val="0"/>
          <w:szCs w:val="21"/>
          <w:highlight w:val="none"/>
        </w:rPr>
        <w:t>天。</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11.14 外架悬挑工字钢洞口必须用高一标号微膨胀砼进行封堵，并凿毛冲洗干净。</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 xml:space="preserve">11.15 </w:t>
      </w:r>
      <w:r>
        <w:rPr>
          <w:rFonts w:ascii="宋体" w:hAnsi="宋体" w:cs="仿宋"/>
          <w:bCs/>
          <w:color w:val="auto"/>
          <w:kern w:val="0"/>
          <w:szCs w:val="21"/>
          <w:highlight w:val="none"/>
        </w:rPr>
        <w:t>搭设脚手架拆除悬挑外架的预埋件以及外墙收口施工费用包含其中。</w:t>
      </w:r>
    </w:p>
    <w:p>
      <w:pPr>
        <w:numPr>
          <w:ilvl w:val="1"/>
          <w:numId w:val="0"/>
        </w:numPr>
        <w:tabs>
          <w:tab w:val="left" w:pos="840"/>
        </w:tabs>
        <w:autoSpaceDE w:val="0"/>
        <w:autoSpaceDN w:val="0"/>
        <w:adjustRightInd w:val="0"/>
        <w:spacing w:line="360" w:lineRule="auto"/>
        <w:ind w:left="837" w:leftChars="104" w:hanging="619" w:hangingChars="295"/>
        <w:jc w:val="left"/>
        <w:rPr>
          <w:rFonts w:ascii="宋体" w:hAnsi="宋体" w:cs="仿宋"/>
          <w:bCs/>
          <w:color w:val="auto"/>
          <w:kern w:val="0"/>
          <w:szCs w:val="21"/>
          <w:highlight w:val="none"/>
        </w:rPr>
      </w:pPr>
      <w:r>
        <w:rPr>
          <w:rFonts w:hint="eastAsia" w:ascii="宋体" w:hAnsi="宋体" w:cs="仿宋"/>
          <w:bCs/>
          <w:color w:val="auto"/>
          <w:kern w:val="0"/>
          <w:szCs w:val="21"/>
          <w:highlight w:val="none"/>
        </w:rPr>
        <w:t>11.16 承包人统一负责涂料外墙、涂料阳台内墙的清洗工作，以及外墙门窗、铝板幕墙等施工污染的清洗工作，除常规工序要求外还包括竣备后和交付前两次全面外墙清洗，相关费用综合考虑。</w:t>
      </w:r>
    </w:p>
    <w:p>
      <w:pPr>
        <w:pStyle w:val="714"/>
        <w:numPr>
          <w:ilvl w:val="0"/>
          <w:numId w:val="7"/>
        </w:numPr>
        <w:autoSpaceDE w:val="0"/>
        <w:autoSpaceDN w:val="0"/>
        <w:adjustRightInd w:val="0"/>
        <w:spacing w:line="360" w:lineRule="auto"/>
        <w:ind w:left="590" w:hanging="448"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爬架搭设和爬架安全管理要求</w:t>
      </w:r>
    </w:p>
    <w:p>
      <w:pPr>
        <w:numPr>
          <w:ilvl w:val="1"/>
          <w:numId w:val="20"/>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施工电梯应能进入爬架并上至爬架N-</w:t>
      </w:r>
      <w:r>
        <w:rPr>
          <w:rFonts w:ascii="宋体" w:hAnsi="宋体" w:cs="仿宋"/>
          <w:bCs/>
          <w:color w:val="auto"/>
          <w:kern w:val="0"/>
          <w:szCs w:val="21"/>
          <w:highlight w:val="none"/>
        </w:rPr>
        <w:t>2</w:t>
      </w:r>
      <w:r>
        <w:rPr>
          <w:rFonts w:hint="eastAsia" w:ascii="宋体" w:hAnsi="宋体" w:cs="仿宋"/>
          <w:bCs/>
          <w:color w:val="auto"/>
          <w:kern w:val="0"/>
          <w:szCs w:val="21"/>
          <w:highlight w:val="none"/>
        </w:rPr>
        <w:t>层（N层为结构施工层）。</w:t>
      </w:r>
    </w:p>
    <w:p>
      <w:pPr>
        <w:numPr>
          <w:ilvl w:val="1"/>
          <w:numId w:val="20"/>
        </w:num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爬架附墙预埋件位置，应注意避开卫生间沉池，阳台飘板等位置。</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每栋单体爬架应设置不少于两个楼梯，楼梯设置时需考虑与机位之间的距离，确保人员物资的通过性。</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架体升降经过塔吊附臂的位置，采用吊桥式折叠架。</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爬架应选用能在空中拆解的型号和施工方案。</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爬架覆盖的第四层梁板结构浇筑混凝土后开始提升架体。</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爬架往上升降到位后安装顶部或底部导座，并与建筑结构进行可靠连接。</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附着式升降脚手架架体升降到位固定后，检查与验收合格后方可使用；遇五级及以上大风和大雨、大雪、浓雾和雷电等恶劣天气时，不得进行升降作业。</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升降时，在地面应设有围栏和警戒标志，并应派专人看守，非操作人员不得入内。</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应当在脚手架工程安拆前编制安全专项方案和应急救援预案，对提升高度1</w:t>
      </w:r>
      <w:r>
        <w:rPr>
          <w:rFonts w:ascii="宋体" w:hAnsi="宋体" w:cs="仿宋"/>
          <w:bCs/>
          <w:color w:val="auto"/>
          <w:kern w:val="0"/>
          <w:szCs w:val="21"/>
          <w:highlight w:val="none"/>
        </w:rPr>
        <w:t>50</w:t>
      </w:r>
      <w:r>
        <w:rPr>
          <w:rFonts w:hint="eastAsia" w:ascii="宋体" w:hAnsi="宋体" w:cs="仿宋"/>
          <w:bCs/>
          <w:color w:val="auto"/>
          <w:kern w:val="0"/>
          <w:szCs w:val="21"/>
          <w:highlight w:val="none"/>
        </w:rPr>
        <w:t>m及以上的附着式升降脚手架工程或附着式升降操作平台工程应按规定由施工承包人组织召开专家论证会。</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定期对防坠落装置的有效性和可靠性进行检测。</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脚手架应按设计性能指标进行使用，不得随意扩大使用范围；架体上的施工荷载应符合设计规定，不得超载，不得放置影响局部杆件安全的集中荷载。</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每月定期对架体的螺栓连接件、升降设备、防倾装置、防坠落装置、电控设备、同步控制装置等进行检查，发现问题应及时进行维护更换。</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导向件的导轮和定位螺栓表面必须定期润滑（ 至少每月一次），外露的螺纹表面必须用黄油涂抹，防止锈蚀和附着在表面的水泥、砂浆等凝固。</w:t>
      </w:r>
    </w:p>
    <w:p>
      <w:pPr>
        <w:numPr>
          <w:ilvl w:val="1"/>
          <w:numId w:val="20"/>
        </w:numPr>
        <w:tabs>
          <w:tab w:val="left" w:pos="1060"/>
        </w:tabs>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施工期间，每次浇注完混凝土后，必须将导轮表面的杂物及时清理，以便导轮顺利运行</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葫芦的表面要用帆布或塑料布包封，以免杂物掉入，同时葫芦的链条和提升钢丝绳要定期涂润滑油，以防链条生锈。</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架上杂物必须安排专人及时清理。</w:t>
      </w:r>
    </w:p>
    <w:p>
      <w:pPr>
        <w:numPr>
          <w:ilvl w:val="1"/>
          <w:numId w:val="20"/>
        </w:numPr>
        <w:tabs>
          <w:tab w:val="left" w:pos="1060"/>
        </w:tabs>
        <w:autoSpaceDE w:val="0"/>
        <w:autoSpaceDN w:val="0"/>
        <w:adjustRightInd w:val="0"/>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附墙支座在使用过程中为了防止在施工过程中砂浆、水泥等掉落影响附墙支座支顶器、弹簧的正常工作， 宜用波纹管包住附墙支座支顶器和弹簧以达到防尘防污染的效果。</w:t>
      </w:r>
    </w:p>
    <w:p>
      <w:pPr>
        <w:numPr>
          <w:ilvl w:val="1"/>
          <w:numId w:val="20"/>
        </w:numPr>
        <w:tabs>
          <w:tab w:val="left" w:pos="1060"/>
        </w:tabs>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爬架的冲孔板颜色需符合当地政府要求。</w:t>
      </w:r>
    </w:p>
    <w:p>
      <w:pPr>
        <w:numPr>
          <w:ilvl w:val="1"/>
          <w:numId w:val="20"/>
        </w:numPr>
        <w:tabs>
          <w:tab w:val="left" w:pos="1060"/>
        </w:tabs>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需设置三道硬性封闭翻板，确保附着点、提升装置、阳角等部位封闭到位。</w:t>
      </w:r>
    </w:p>
    <w:p>
      <w:pPr>
        <w:numPr>
          <w:ilvl w:val="1"/>
          <w:numId w:val="20"/>
        </w:numPr>
        <w:tabs>
          <w:tab w:val="left" w:pos="1060"/>
        </w:tabs>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各标段楼栋必须使用全新的爬架设备，爬架设备厂家单位需与合同一致。</w:t>
      </w: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工作面移交及整改</w:t>
      </w:r>
    </w:p>
    <w:p>
      <w:pPr>
        <w:numPr>
          <w:ilvl w:val="1"/>
          <w:numId w:val="21"/>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必须制定有效措施落实承包人内部“完工清场”的要求，每道工序移交工作面时场地必须干净整洁，上一道工序所产生的垃圾已经清理；拆除模板后，承包人必须立即安排清理楼层周转材料和建筑垃圾及建筑混凝土浮浆，营造一个干净整洁的施工环境；承包人在向其他单位移交工作面时，所有楼层或工作面内的垃圾已经清理干净并已清运下楼，否则其他单位有权不予接收工作面。</w:t>
      </w:r>
    </w:p>
    <w:p>
      <w:pPr>
        <w:numPr>
          <w:ilvl w:val="1"/>
          <w:numId w:val="21"/>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承包人必须对施工面和工序进行有效地组织和控制，只有工作面和上道工序合格后，才能移交工作面和允许下道工序施工。</w:t>
      </w:r>
    </w:p>
    <w:p>
      <w:pPr>
        <w:numPr>
          <w:ilvl w:val="1"/>
          <w:numId w:val="21"/>
        </w:numPr>
        <w:tabs>
          <w:tab w:val="left" w:pos="1060"/>
        </w:tabs>
        <w:spacing w:line="360" w:lineRule="auto"/>
        <w:ind w:left="1050" w:hanging="653"/>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 承包人</w:t>
      </w:r>
      <w:r>
        <w:rPr>
          <w:rFonts w:hint="eastAsia" w:ascii="宋体" w:hAnsi="宋体" w:cs="仿宋"/>
          <w:bCs/>
          <w:color w:val="auto"/>
          <w:kern w:val="0"/>
          <w:szCs w:val="21"/>
          <w:highlight w:val="none"/>
        </w:rPr>
        <w:t>必须根据发包人要求安排专人跟进移交精装修过程中的整改工作，并保证每周能根据相关要求整改并移交不少于</w:t>
      </w:r>
      <w:r>
        <w:rPr>
          <w:rFonts w:hint="eastAsia" w:ascii="宋体" w:hAnsi="宋体" w:cs="仿宋"/>
          <w:bCs/>
          <w:color w:val="auto"/>
          <w:kern w:val="0"/>
          <w:szCs w:val="21"/>
          <w:highlight w:val="none"/>
          <w:u w:val="single"/>
        </w:rPr>
        <w:t>4</w:t>
      </w:r>
      <w:r>
        <w:rPr>
          <w:rFonts w:hint="eastAsia" w:ascii="宋体" w:hAnsi="宋体" w:cs="仿宋"/>
          <w:bCs/>
          <w:color w:val="auto"/>
          <w:kern w:val="0"/>
          <w:szCs w:val="21"/>
          <w:highlight w:val="none"/>
        </w:rPr>
        <w:t>层。如因承包人原因导致工作面不能按时完成整改移交精装修单位，发包人有权利委托其他单位进行整改工作，所发生的费用由承包人承担。</w:t>
      </w:r>
    </w:p>
    <w:p>
      <w:pPr>
        <w:numPr>
          <w:ilvl w:val="1"/>
          <w:numId w:val="21"/>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样板层的场地移交，承包人必须根据工期节点要求移交样板间场地时间移交场地给装修单位施工。</w:t>
      </w:r>
    </w:p>
    <w:p>
      <w:pPr>
        <w:pStyle w:val="714"/>
        <w:numPr>
          <w:ilvl w:val="0"/>
          <w:numId w:val="7"/>
        </w:numPr>
        <w:autoSpaceDE w:val="0"/>
        <w:autoSpaceDN w:val="0"/>
        <w:adjustRightInd w:val="0"/>
        <w:spacing w:line="360" w:lineRule="auto"/>
        <w:ind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竣工验收手续</w:t>
      </w:r>
    </w:p>
    <w:p>
      <w:pPr>
        <w:numPr>
          <w:ilvl w:val="1"/>
          <w:numId w:val="22"/>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预拌砂浆使用必须满足政府现行要求，分期按进度提供符合数量的发票，核对后拨付工程款，且负责办理预拌砂浆备案手续（对各分包单位不得摊派此项费用），实际用量按实结算。</w:t>
      </w:r>
    </w:p>
    <w:p>
      <w:pPr>
        <w:numPr>
          <w:ilvl w:val="1"/>
          <w:numId w:val="22"/>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商品混凝土厂商必须由承包人在中标后报发包人审核后才可采用，混凝土厂商所提供的资质等资料必须符合国家和地方政府相关部门要求。</w:t>
      </w:r>
    </w:p>
    <w:p>
      <w:pPr>
        <w:numPr>
          <w:ilvl w:val="1"/>
          <w:numId w:val="22"/>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负责竣工资料的收集整理，包括协调其他分包竣工资料及时归档至承包人竣工资料内，竣工验收时一并移交档案馆，并按发包人要求移交发包人，费用已包含在合同总价内。承包人的责任包括但不仅限于以下方面：</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1</w:t>
      </w:r>
      <w:r>
        <w:rPr>
          <w:rFonts w:hint="eastAsia" w:ascii="宋体" w:hAnsi="宋体" w:cs="仿宋"/>
          <w:bCs/>
          <w:color w:val="auto"/>
          <w:kern w:val="0"/>
          <w:szCs w:val="21"/>
          <w:highlight w:val="none"/>
        </w:rPr>
        <w:t>）指导其他分包按当地政府部门要求以及发包人要求整理竣工资料；</w:t>
      </w:r>
    </w:p>
    <w:p>
      <w:pPr>
        <w:autoSpaceDE w:val="0"/>
        <w:autoSpaceDN w:val="0"/>
        <w:adjustRightInd w:val="0"/>
        <w:spacing w:line="360" w:lineRule="auto"/>
        <w:ind w:left="1029" w:leftChars="190" w:hanging="630" w:hangingChars="3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2</w:t>
      </w:r>
      <w:r>
        <w:rPr>
          <w:rFonts w:hint="eastAsia" w:ascii="宋体" w:hAnsi="宋体" w:cs="仿宋"/>
          <w:bCs/>
          <w:color w:val="auto"/>
          <w:kern w:val="0"/>
          <w:szCs w:val="21"/>
          <w:highlight w:val="none"/>
        </w:rPr>
        <w:t>）当分包单位的资质不符合要求时，均以承包人公司名称进行竣工资料整理，承包人负责配合该分包单位资料的签字盖章手续，不得收取任何费用。</w:t>
      </w:r>
    </w:p>
    <w:p>
      <w:pPr>
        <w:autoSpaceDE w:val="0"/>
        <w:autoSpaceDN w:val="0"/>
        <w:adjustRightInd w:val="0"/>
        <w:spacing w:line="360" w:lineRule="auto"/>
        <w:ind w:left="1029" w:leftChars="190" w:hanging="630" w:hangingChars="3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3</w:t>
      </w:r>
      <w:r>
        <w:rPr>
          <w:rFonts w:hint="eastAsia" w:ascii="宋体" w:hAnsi="宋体" w:cs="仿宋"/>
          <w:bCs/>
          <w:color w:val="auto"/>
          <w:kern w:val="0"/>
          <w:szCs w:val="21"/>
          <w:highlight w:val="none"/>
        </w:rPr>
        <w:t>）竣工验收时向发包人移交竣工资料，其中：</w:t>
      </w:r>
      <w:r>
        <w:rPr>
          <w:rFonts w:hint="eastAsia" w:ascii="宋体" w:hAnsi="宋体" w:cs="宋体"/>
          <w:bCs/>
          <w:color w:val="auto"/>
          <w:kern w:val="0"/>
          <w:szCs w:val="21"/>
          <w:highlight w:val="none"/>
        </w:rPr>
        <w:t>原件一式五份，复印件一式二份，以及内容相同的电子版档案一式二份，声像档案一式二份。</w:t>
      </w:r>
      <w:r>
        <w:rPr>
          <w:rFonts w:hint="eastAsia" w:ascii="宋体" w:hAnsi="宋体" w:cs="仿宋"/>
          <w:bCs/>
          <w:color w:val="auto"/>
          <w:kern w:val="0"/>
          <w:szCs w:val="21"/>
          <w:highlight w:val="none"/>
        </w:rPr>
        <w:t>一套为移交档案馆资料，要求全部为原件，按当地档案馆及政府部门要求进行整理，其余为移交发包人的竣工资料，除符合当地档案馆及政府部门要求外，还必须按发包人要求完成。</w:t>
      </w:r>
    </w:p>
    <w:p>
      <w:pPr>
        <w:autoSpaceDE w:val="0"/>
        <w:autoSpaceDN w:val="0"/>
        <w:adjustRightInd w:val="0"/>
        <w:spacing w:line="360" w:lineRule="auto"/>
        <w:ind w:left="1029" w:leftChars="190" w:hanging="630" w:hangingChars="3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4</w:t>
      </w:r>
      <w:r>
        <w:rPr>
          <w:rFonts w:hint="eastAsia" w:ascii="宋体" w:hAnsi="宋体" w:cs="仿宋"/>
          <w:bCs/>
          <w:color w:val="auto"/>
          <w:kern w:val="0"/>
          <w:szCs w:val="21"/>
          <w:highlight w:val="none"/>
        </w:rPr>
        <w:t>）上述第一套竣工资料必须在各分包报齐后</w:t>
      </w:r>
      <w:r>
        <w:rPr>
          <w:rFonts w:ascii="宋体" w:hAnsi="宋体" w:cs="仿宋"/>
          <w:bCs/>
          <w:color w:val="auto"/>
          <w:kern w:val="0"/>
          <w:szCs w:val="21"/>
          <w:highlight w:val="none"/>
        </w:rPr>
        <w:t xml:space="preserve">15 </w:t>
      </w:r>
      <w:r>
        <w:rPr>
          <w:rFonts w:hint="eastAsia" w:ascii="宋体" w:hAnsi="宋体" w:cs="仿宋"/>
          <w:bCs/>
          <w:color w:val="auto"/>
          <w:kern w:val="0"/>
          <w:szCs w:val="21"/>
          <w:highlight w:val="none"/>
        </w:rPr>
        <w:t>天完成整理交当地质监部门审查并在要求时间内完成资料整改，不得因资料原因影响工程竣工验收，否则将对承包人每延迟一天处以不少于一万元</w:t>
      </w:r>
      <w:r>
        <w:rPr>
          <w:rFonts w:ascii="宋体" w:hAnsi="宋体" w:cs="仿宋"/>
          <w:bCs/>
          <w:color w:val="auto"/>
          <w:kern w:val="0"/>
          <w:szCs w:val="21"/>
          <w:highlight w:val="none"/>
        </w:rPr>
        <w:t>/</w:t>
      </w:r>
      <w:r>
        <w:rPr>
          <w:rFonts w:hint="eastAsia" w:ascii="宋体" w:hAnsi="宋体" w:cs="仿宋"/>
          <w:bCs/>
          <w:color w:val="auto"/>
          <w:kern w:val="0"/>
          <w:szCs w:val="21"/>
          <w:highlight w:val="none"/>
        </w:rPr>
        <w:t>天的违约金。</w:t>
      </w:r>
    </w:p>
    <w:p>
      <w:pPr>
        <w:autoSpaceDE w:val="0"/>
        <w:autoSpaceDN w:val="0"/>
        <w:adjustRightInd w:val="0"/>
        <w:spacing w:line="360" w:lineRule="auto"/>
        <w:ind w:left="1029" w:leftChars="190" w:hanging="630" w:hangingChars="3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w:t>
      </w:r>
      <w:r>
        <w:rPr>
          <w:rFonts w:ascii="宋体" w:hAnsi="宋体" w:cs="仿宋"/>
          <w:bCs/>
          <w:color w:val="auto"/>
          <w:kern w:val="0"/>
          <w:szCs w:val="21"/>
          <w:highlight w:val="none"/>
        </w:rPr>
        <w:t>5</w:t>
      </w:r>
      <w:r>
        <w:rPr>
          <w:rFonts w:hint="eastAsia" w:ascii="宋体" w:hAnsi="宋体" w:cs="仿宋"/>
          <w:bCs/>
          <w:color w:val="auto"/>
          <w:kern w:val="0"/>
          <w:szCs w:val="21"/>
          <w:highlight w:val="none"/>
        </w:rPr>
        <w:t>）上述合格资料必须在工程竣工验收</w:t>
      </w:r>
      <w:r>
        <w:rPr>
          <w:rFonts w:ascii="宋体" w:hAnsi="宋体" w:cs="仿宋"/>
          <w:bCs/>
          <w:color w:val="auto"/>
          <w:kern w:val="0"/>
          <w:szCs w:val="21"/>
          <w:highlight w:val="none"/>
        </w:rPr>
        <w:t>30天内移交</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，否则</w:t>
      </w:r>
      <w:r>
        <w:rPr>
          <w:rFonts w:hint="eastAsia" w:ascii="宋体" w:hAnsi="宋体" w:cs="仿宋"/>
          <w:bCs/>
          <w:color w:val="auto"/>
          <w:kern w:val="0"/>
          <w:szCs w:val="21"/>
          <w:highlight w:val="none"/>
        </w:rPr>
        <w:t>发包人</w:t>
      </w:r>
      <w:r>
        <w:rPr>
          <w:rFonts w:ascii="宋体" w:hAnsi="宋体" w:cs="仿宋"/>
          <w:bCs/>
          <w:color w:val="auto"/>
          <w:kern w:val="0"/>
          <w:szCs w:val="21"/>
          <w:highlight w:val="none"/>
        </w:rPr>
        <w:t>有权暂缓支付</w:t>
      </w:r>
      <w:r>
        <w:rPr>
          <w:rFonts w:hint="eastAsia" w:ascii="宋体" w:hAnsi="宋体" w:cs="仿宋"/>
          <w:bCs/>
          <w:color w:val="auto"/>
          <w:kern w:val="0"/>
          <w:szCs w:val="21"/>
          <w:highlight w:val="none"/>
        </w:rPr>
        <w:t>承包人</w:t>
      </w:r>
      <w:r>
        <w:rPr>
          <w:rFonts w:ascii="宋体" w:hAnsi="宋体" w:cs="仿宋"/>
          <w:bCs/>
          <w:color w:val="auto"/>
          <w:kern w:val="0"/>
          <w:szCs w:val="21"/>
          <w:highlight w:val="none"/>
        </w:rPr>
        <w:t>工程款项，并对</w:t>
      </w:r>
      <w:r>
        <w:rPr>
          <w:rFonts w:hint="eastAsia" w:ascii="宋体" w:hAnsi="宋体" w:cs="仿宋"/>
          <w:bCs/>
          <w:color w:val="auto"/>
          <w:kern w:val="0"/>
          <w:szCs w:val="21"/>
          <w:highlight w:val="none"/>
        </w:rPr>
        <w:t>承包人</w:t>
      </w:r>
      <w:r>
        <w:rPr>
          <w:rFonts w:ascii="宋体" w:hAnsi="宋体" w:cs="仿宋"/>
          <w:bCs/>
          <w:color w:val="auto"/>
          <w:kern w:val="0"/>
          <w:szCs w:val="21"/>
          <w:highlight w:val="none"/>
        </w:rPr>
        <w:t>处以不少于两万元的</w:t>
      </w:r>
      <w:r>
        <w:rPr>
          <w:rFonts w:hint="eastAsia" w:ascii="宋体" w:hAnsi="宋体" w:cs="仿宋"/>
          <w:bCs/>
          <w:color w:val="auto"/>
          <w:kern w:val="0"/>
          <w:szCs w:val="21"/>
          <w:highlight w:val="none"/>
        </w:rPr>
        <w:t>违约金</w:t>
      </w:r>
      <w:r>
        <w:rPr>
          <w:rFonts w:ascii="宋体" w:hAnsi="宋体" w:cs="仿宋"/>
          <w:bCs/>
          <w:color w:val="auto"/>
          <w:kern w:val="0"/>
          <w:szCs w:val="21"/>
          <w:highlight w:val="none"/>
        </w:rPr>
        <w:t>。</w:t>
      </w:r>
    </w:p>
    <w:p>
      <w:pPr>
        <w:numPr>
          <w:ilvl w:val="1"/>
          <w:numId w:val="22"/>
        </w:numPr>
        <w:tabs>
          <w:tab w:val="left" w:pos="1060"/>
        </w:tabs>
        <w:spacing w:line="360" w:lineRule="auto"/>
        <w:ind w:left="1050" w:hanging="653"/>
        <w:jc w:val="left"/>
        <w:rPr>
          <w:rFonts w:ascii="宋体" w:hAnsi="宋体" w:cs="仿宋"/>
          <w:bCs/>
          <w:color w:val="auto"/>
          <w:kern w:val="0"/>
          <w:szCs w:val="21"/>
          <w:highlight w:val="none"/>
        </w:rPr>
      </w:pPr>
      <w:r>
        <w:rPr>
          <w:rFonts w:hint="eastAsia" w:ascii="宋体" w:hAnsi="宋体" w:cs="仿宋"/>
          <w:bCs/>
          <w:color w:val="auto"/>
          <w:kern w:val="0"/>
          <w:szCs w:val="21"/>
          <w:highlight w:val="none"/>
        </w:rPr>
        <w:t>承包人应及时办理基础工程、地下室、主体结构、节能等中间验收手续，负责办理项目所在地建设工程质量监督验收（质监验收）；负责办理公建配套移交手续，必须配合办理其他专项验收及竣工备案手续办理。</w:t>
      </w:r>
    </w:p>
    <w:p>
      <w:pPr>
        <w:pStyle w:val="714"/>
        <w:numPr>
          <w:ilvl w:val="0"/>
          <w:numId w:val="7"/>
        </w:numPr>
        <w:autoSpaceDE w:val="0"/>
        <w:autoSpaceDN w:val="0"/>
        <w:adjustRightInd w:val="0"/>
        <w:spacing w:line="360" w:lineRule="auto"/>
        <w:ind w:firstLineChars="0"/>
        <w:jc w:val="left"/>
        <w:outlineLvl w:val="1"/>
        <w:rPr>
          <w:rFonts w:ascii="宋体" w:hAnsi="宋体"/>
          <w:b/>
          <w:color w:val="auto"/>
          <w:szCs w:val="21"/>
          <w:highlight w:val="none"/>
          <w:u w:val="single"/>
        </w:rPr>
      </w:pPr>
      <w:r>
        <w:rPr>
          <w:rFonts w:ascii="宋体" w:hAnsi="宋体"/>
          <w:b/>
          <w:color w:val="auto"/>
          <w:szCs w:val="21"/>
          <w:highlight w:val="none"/>
          <w:u w:val="single"/>
        </w:rPr>
        <w:t xml:space="preserve">办公室及其配置： </w:t>
      </w:r>
    </w:p>
    <w:p>
      <w:pPr>
        <w:pStyle w:val="135"/>
        <w:autoSpaceDE w:val="0"/>
        <w:autoSpaceDN w:val="0"/>
        <w:adjustRightInd w:val="0"/>
        <w:spacing w:line="360" w:lineRule="auto"/>
        <w:jc w:val="left"/>
        <w:rPr>
          <w:rFonts w:ascii="宋体" w:hAnsi="宋体"/>
          <w:color w:val="auto"/>
          <w:highlight w:val="none"/>
        </w:rPr>
      </w:pPr>
      <w:r>
        <w:rPr>
          <w:rFonts w:hint="eastAsia" w:ascii="宋体" w:hAnsi="宋体"/>
          <w:color w:val="auto"/>
          <w:highlight w:val="none"/>
        </w:rPr>
        <w:t>具体详见</w:t>
      </w:r>
      <w:r>
        <w:rPr>
          <w:rFonts w:hint="eastAsia"/>
          <w:color w:val="auto"/>
          <w:highlight w:val="none"/>
        </w:rPr>
        <w:t>第四章“</w:t>
      </w:r>
      <w:r>
        <w:rPr>
          <w:rFonts w:hint="eastAsia" w:ascii="宋体" w:hAnsi="宋体"/>
          <w:color w:val="auto"/>
          <w:highlight w:val="none"/>
        </w:rPr>
        <w:t>发包人办公室及其配置</w:t>
      </w:r>
      <w:r>
        <w:rPr>
          <w:rFonts w:hint="eastAsia"/>
          <w:color w:val="auto"/>
          <w:highlight w:val="none"/>
        </w:rPr>
        <w:t>”。</w:t>
      </w:r>
    </w:p>
    <w:p>
      <w:pPr>
        <w:pStyle w:val="714"/>
        <w:numPr>
          <w:ilvl w:val="0"/>
          <w:numId w:val="7"/>
        </w:numPr>
        <w:autoSpaceDE w:val="0"/>
        <w:autoSpaceDN w:val="0"/>
        <w:adjustRightInd w:val="0"/>
        <w:spacing w:line="360" w:lineRule="auto"/>
        <w:ind w:firstLineChars="0"/>
        <w:jc w:val="left"/>
        <w:outlineLvl w:val="1"/>
        <w:rPr>
          <w:rFonts w:ascii="宋体" w:hAnsi="宋体" w:cs="仿宋"/>
          <w:b/>
          <w:bCs/>
          <w:color w:val="auto"/>
          <w:kern w:val="0"/>
          <w:szCs w:val="21"/>
          <w:highlight w:val="none"/>
        </w:rPr>
      </w:pPr>
      <w:r>
        <w:rPr>
          <w:rFonts w:hint="eastAsia" w:ascii="宋体" w:hAnsi="宋体" w:cs="仿宋"/>
          <w:b/>
          <w:bCs/>
          <w:color w:val="auto"/>
          <w:kern w:val="0"/>
          <w:szCs w:val="21"/>
          <w:highlight w:val="none"/>
        </w:rPr>
        <w:t>塔吊灯</w:t>
      </w:r>
      <w:r>
        <w:rPr>
          <w:rFonts w:ascii="宋体" w:hAnsi="宋体" w:cs="仿宋"/>
          <w:b/>
          <w:bCs/>
          <w:color w:val="auto"/>
          <w:kern w:val="0"/>
          <w:szCs w:val="21"/>
          <w:highlight w:val="none"/>
        </w:rPr>
        <w:t>LDE光字制作</w:t>
      </w:r>
    </w:p>
    <w:p>
      <w:pPr>
        <w:pStyle w:val="135"/>
        <w:autoSpaceDE w:val="0"/>
        <w:autoSpaceDN w:val="0"/>
        <w:adjustRightInd w:val="0"/>
        <w:spacing w:line="360" w:lineRule="auto"/>
        <w:ind w:firstLine="422"/>
        <w:jc w:val="left"/>
        <w:rPr>
          <w:rFonts w:ascii="宋体" w:hAnsi="宋体" w:cs="仿宋"/>
          <w:bCs/>
          <w:color w:val="auto"/>
          <w:kern w:val="0"/>
          <w:szCs w:val="21"/>
          <w:highlight w:val="none"/>
        </w:rPr>
      </w:pPr>
      <w:r>
        <w:rPr>
          <w:rFonts w:hint="eastAsia" w:ascii="宋体" w:hAnsi="宋体" w:cs="仿宋"/>
          <w:b/>
          <w:bCs/>
          <w:color w:val="auto"/>
          <w:kern w:val="0"/>
          <w:szCs w:val="21"/>
          <w:highlight w:val="none"/>
        </w:rPr>
        <w:t>要求：每个塔吊配重位置</w:t>
      </w:r>
      <w:r>
        <w:rPr>
          <w:rFonts w:hint="eastAsia" w:ascii="宋体" w:hAnsi="宋体" w:cs="仿宋"/>
          <w:bCs/>
          <w:color w:val="auto"/>
          <w:kern w:val="0"/>
          <w:szCs w:val="21"/>
          <w:highlight w:val="none"/>
        </w:rPr>
        <w:t>灯饰配置要求：建议规格和面积：</w:t>
      </w:r>
      <w:r>
        <w:rPr>
          <w:rFonts w:ascii="宋体" w:hAnsi="宋体" w:cs="仿宋"/>
          <w:bCs/>
          <w:color w:val="auto"/>
          <w:kern w:val="0"/>
          <w:szCs w:val="21"/>
          <w:highlight w:val="none"/>
          <w:u w:val="single"/>
        </w:rPr>
        <w:t>20平方米</w:t>
      </w:r>
    </w:p>
    <w:p>
      <w:pPr>
        <w:pStyle w:val="135"/>
        <w:autoSpaceDE w:val="0"/>
        <w:autoSpaceDN w:val="0"/>
        <w:adjustRightInd w:val="0"/>
        <w:spacing w:line="360" w:lineRule="auto"/>
        <w:jc w:val="left"/>
        <w:rPr>
          <w:rFonts w:ascii="宋体" w:hAnsi="宋体" w:cs="仿宋"/>
          <w:bCs/>
          <w:color w:val="auto"/>
          <w:kern w:val="0"/>
          <w:szCs w:val="21"/>
          <w:highlight w:val="none"/>
        </w:rPr>
      </w:pPr>
      <w:r>
        <w:rPr>
          <w:rFonts w:ascii="宋体" w:hAnsi="宋体" w:cs="仿宋"/>
          <w:bCs/>
          <w:color w:val="auto"/>
          <w:kern w:val="0"/>
          <w:szCs w:val="21"/>
          <w:highlight w:val="none"/>
        </w:rPr>
        <w:t>“</w:t>
      </w:r>
      <w:r>
        <w:rPr>
          <w:rFonts w:hint="eastAsia" w:ascii="宋体" w:hAnsi="宋体" w:cs="仿宋"/>
          <w:bCs/>
          <w:color w:val="auto"/>
          <w:kern w:val="0"/>
          <w:szCs w:val="21"/>
          <w:highlight w:val="none"/>
        </w:rPr>
        <w:t>楼盘名称</w:t>
      </w:r>
      <w:r>
        <w:rPr>
          <w:rFonts w:ascii="宋体" w:hAnsi="宋体" w:cs="仿宋"/>
          <w:bCs/>
          <w:color w:val="auto"/>
          <w:kern w:val="0"/>
          <w:szCs w:val="21"/>
          <w:highlight w:val="none"/>
        </w:rPr>
        <w:t>”(暂按照4个字考虑)：1米</w:t>
      </w:r>
      <w:r>
        <w:rPr>
          <w:rFonts w:hint="eastAsia" w:ascii="宋体" w:hAnsi="宋体" w:cs="仿宋"/>
          <w:bCs/>
          <w:color w:val="auto"/>
          <w:kern w:val="0"/>
          <w:szCs w:val="21"/>
          <w:highlight w:val="none"/>
        </w:rPr>
        <w:t>（高）</w:t>
      </w:r>
      <w:r>
        <w:rPr>
          <w:rFonts w:ascii="宋体" w:hAnsi="宋体" w:cs="仿宋"/>
          <w:bCs/>
          <w:color w:val="auto"/>
          <w:kern w:val="0"/>
          <w:szCs w:val="21"/>
          <w:highlight w:val="none"/>
        </w:rPr>
        <w:t>X 5米</w:t>
      </w:r>
      <w:r>
        <w:rPr>
          <w:rFonts w:hint="eastAsia" w:ascii="宋体" w:hAnsi="宋体" w:cs="仿宋"/>
          <w:bCs/>
          <w:color w:val="auto"/>
          <w:kern w:val="0"/>
          <w:szCs w:val="21"/>
          <w:highlight w:val="none"/>
        </w:rPr>
        <w:t>（宽）</w:t>
      </w:r>
      <w:r>
        <w:rPr>
          <w:rFonts w:ascii="宋体" w:hAnsi="宋体" w:cs="仿宋"/>
          <w:bCs/>
          <w:color w:val="auto"/>
          <w:kern w:val="0"/>
          <w:szCs w:val="21"/>
          <w:highlight w:val="none"/>
        </w:rPr>
        <w:t>X 2=10平方米</w:t>
      </w:r>
    </w:p>
    <w:p>
      <w:pPr>
        <w:pStyle w:val="135"/>
        <w:autoSpaceDE w:val="0"/>
        <w:autoSpaceDN w:val="0"/>
        <w:adjustRightInd w:val="0"/>
        <w:spacing w:line="360" w:lineRule="auto"/>
        <w:jc w:val="left"/>
        <w:rPr>
          <w:rFonts w:ascii="宋体" w:hAnsi="宋体" w:cs="仿宋"/>
          <w:bCs/>
          <w:color w:val="auto"/>
          <w:kern w:val="0"/>
          <w:szCs w:val="21"/>
          <w:highlight w:val="none"/>
        </w:rPr>
      </w:pPr>
      <w:r>
        <w:rPr>
          <w:rFonts w:ascii="宋体" w:hAnsi="宋体" w:cs="仿宋"/>
          <w:bCs/>
          <w:color w:val="auto"/>
          <w:kern w:val="0"/>
          <w:szCs w:val="21"/>
          <w:highlight w:val="none"/>
        </w:rPr>
        <w:t xml:space="preserve"> “LOGO+越秀地产”: 1米</w:t>
      </w:r>
      <w:r>
        <w:rPr>
          <w:rFonts w:hint="eastAsia" w:ascii="宋体" w:hAnsi="宋体" w:cs="仿宋"/>
          <w:bCs/>
          <w:color w:val="auto"/>
          <w:kern w:val="0"/>
          <w:szCs w:val="21"/>
          <w:highlight w:val="none"/>
        </w:rPr>
        <w:t>（高）</w:t>
      </w:r>
      <w:r>
        <w:rPr>
          <w:rFonts w:ascii="宋体" w:hAnsi="宋体" w:cs="仿宋"/>
          <w:bCs/>
          <w:color w:val="auto"/>
          <w:kern w:val="0"/>
          <w:szCs w:val="21"/>
          <w:highlight w:val="none"/>
        </w:rPr>
        <w:t>X 5米</w:t>
      </w:r>
      <w:r>
        <w:rPr>
          <w:rFonts w:hint="eastAsia" w:ascii="宋体" w:hAnsi="宋体" w:cs="仿宋"/>
          <w:bCs/>
          <w:color w:val="auto"/>
          <w:kern w:val="0"/>
          <w:szCs w:val="21"/>
          <w:highlight w:val="none"/>
        </w:rPr>
        <w:t>（宽）</w:t>
      </w:r>
      <w:r>
        <w:rPr>
          <w:rFonts w:ascii="宋体" w:hAnsi="宋体" w:cs="仿宋"/>
          <w:bCs/>
          <w:color w:val="auto"/>
          <w:kern w:val="0"/>
          <w:szCs w:val="21"/>
          <w:highlight w:val="none"/>
        </w:rPr>
        <w:t>X 2=10平方米</w:t>
      </w:r>
    </w:p>
    <w:p>
      <w:pPr>
        <w:autoSpaceDE w:val="0"/>
        <w:autoSpaceDN w:val="0"/>
        <w:adjustRightInd w:val="0"/>
        <w:spacing w:line="360" w:lineRule="auto"/>
        <w:ind w:firstLine="422" w:firstLineChars="200"/>
        <w:jc w:val="left"/>
        <w:rPr>
          <w:rFonts w:ascii="宋体" w:hAnsi="宋体" w:cs="仿宋"/>
          <w:bCs/>
          <w:color w:val="auto"/>
          <w:kern w:val="0"/>
          <w:szCs w:val="21"/>
          <w:highlight w:val="none"/>
        </w:rPr>
      </w:pPr>
      <w:r>
        <w:rPr>
          <w:rFonts w:hint="eastAsia" w:ascii="宋体" w:hAnsi="宋体" w:cs="仿宋"/>
          <w:b/>
          <w:bCs/>
          <w:color w:val="auto"/>
          <w:kern w:val="0"/>
          <w:szCs w:val="21"/>
          <w:highlight w:val="none"/>
        </w:rPr>
        <w:t>位置及用电量：</w:t>
      </w:r>
      <w:r>
        <w:rPr>
          <w:rFonts w:hint="eastAsia" w:ascii="宋体" w:hAnsi="宋体" w:cs="仿宋"/>
          <w:bCs/>
          <w:color w:val="auto"/>
          <w:kern w:val="0"/>
          <w:szCs w:val="21"/>
          <w:highlight w:val="none"/>
        </w:rPr>
        <w:t>考虑使用塔吊按照发包人要求布置楼盘名称</w:t>
      </w:r>
      <w:r>
        <w:rPr>
          <w:rFonts w:ascii="宋体" w:hAnsi="宋体" w:cs="仿宋"/>
          <w:b/>
          <w:bCs/>
          <w:color w:val="auto"/>
          <w:kern w:val="0"/>
          <w:szCs w:val="21"/>
          <w:highlight w:val="none"/>
        </w:rPr>
        <w:t>+</w:t>
      </w:r>
      <w:r>
        <w:rPr>
          <w:rFonts w:ascii="宋体" w:hAnsi="宋体" w:cs="仿宋"/>
          <w:bCs/>
          <w:color w:val="auto"/>
          <w:kern w:val="0"/>
          <w:szCs w:val="21"/>
          <w:highlight w:val="none"/>
        </w:rPr>
        <w:t>LOGO+越秀地产，并预留1Kw电量用于保证灯饰效果</w:t>
      </w:r>
    </w:p>
    <w:p>
      <w:pPr>
        <w:pStyle w:val="714"/>
        <w:numPr>
          <w:ilvl w:val="0"/>
          <w:numId w:val="7"/>
        </w:numPr>
        <w:autoSpaceDE w:val="0"/>
        <w:autoSpaceDN w:val="0"/>
        <w:adjustRightInd w:val="0"/>
        <w:spacing w:line="360" w:lineRule="auto"/>
        <w:ind w:firstLineChars="0"/>
        <w:jc w:val="left"/>
        <w:outlineLvl w:val="1"/>
        <w:rPr>
          <w:rFonts w:ascii="宋体" w:hAnsi="宋体"/>
          <w:color w:val="auto"/>
          <w:szCs w:val="21"/>
          <w:highlight w:val="none"/>
        </w:rPr>
      </w:pPr>
      <w:r>
        <w:rPr>
          <w:rFonts w:ascii="宋体" w:hAnsi="宋体"/>
          <w:b/>
          <w:color w:val="auto"/>
          <w:szCs w:val="21"/>
          <w:highlight w:val="none"/>
        </w:rPr>
        <w:t>塔吊基础的设置与</w:t>
      </w:r>
      <w:r>
        <w:rPr>
          <w:rFonts w:hint="eastAsia" w:ascii="宋体" w:hAnsi="宋体"/>
          <w:b/>
          <w:color w:val="auto"/>
          <w:szCs w:val="21"/>
          <w:highlight w:val="none"/>
        </w:rPr>
        <w:t>塔吊安装要求：</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基础施工及</w:t>
      </w:r>
      <w:r>
        <w:rPr>
          <w:rFonts w:ascii="宋体" w:hAnsi="宋体"/>
          <w:color w:val="auto"/>
          <w:szCs w:val="21"/>
          <w:highlight w:val="none"/>
        </w:rPr>
        <w:t>基坑</w:t>
      </w:r>
      <w:r>
        <w:rPr>
          <w:rFonts w:hint="eastAsia" w:ascii="宋体" w:hAnsi="宋体"/>
          <w:color w:val="auto"/>
          <w:szCs w:val="21"/>
          <w:highlight w:val="none"/>
        </w:rPr>
        <w:t>支护期间</w:t>
      </w:r>
      <w:r>
        <w:rPr>
          <w:rFonts w:ascii="宋体" w:hAnsi="宋体"/>
          <w:color w:val="auto"/>
          <w:szCs w:val="21"/>
          <w:highlight w:val="none"/>
        </w:rPr>
        <w:t>时要考虑塔吊基础的设置与施工。</w:t>
      </w:r>
      <w:r>
        <w:rPr>
          <w:rFonts w:hint="eastAsia"/>
          <w:color w:val="auto"/>
          <w:highlight w:val="none"/>
        </w:rPr>
        <w:t>具体位置</w:t>
      </w:r>
      <w:r>
        <w:rPr>
          <w:rFonts w:ascii="宋体" w:hAnsi="宋体"/>
          <w:color w:val="auto"/>
          <w:szCs w:val="21"/>
          <w:highlight w:val="none"/>
        </w:rPr>
        <w:t>要合理、安全、可行</w:t>
      </w:r>
      <w:r>
        <w:rPr>
          <w:rFonts w:hint="eastAsia" w:ascii="宋体" w:hAnsi="宋体"/>
          <w:color w:val="auto"/>
          <w:szCs w:val="21"/>
          <w:highlight w:val="none"/>
        </w:rPr>
        <w:t>，但要避开样板展示区域、地下室设备用房、主电缆走向等涉及销售和会影响验收的区域，</w:t>
      </w:r>
      <w:r>
        <w:rPr>
          <w:rFonts w:hint="eastAsia"/>
          <w:color w:val="auto"/>
          <w:szCs w:val="21"/>
          <w:highlight w:val="none"/>
        </w:rPr>
        <w:t>塔吊基础所设位置要尽量避开穿越楼板，不允许采用内爬塔，</w:t>
      </w:r>
      <w:r>
        <w:rPr>
          <w:rFonts w:hint="eastAsia" w:ascii="宋体" w:hAnsi="宋体"/>
          <w:color w:val="auto"/>
          <w:szCs w:val="21"/>
          <w:highlight w:val="none"/>
        </w:rPr>
        <w:t>具体位置须经发包人同意</w:t>
      </w:r>
      <w:r>
        <w:rPr>
          <w:rFonts w:ascii="宋体" w:hAnsi="宋体"/>
          <w:color w:val="auto"/>
          <w:szCs w:val="21"/>
          <w:highlight w:val="none"/>
        </w:rPr>
        <w:t>。</w:t>
      </w:r>
      <w:r>
        <w:rPr>
          <w:rFonts w:hint="eastAsia" w:ascii="宋体" w:hAnsi="宋体"/>
          <w:color w:val="auto"/>
          <w:szCs w:val="21"/>
          <w:highlight w:val="none"/>
        </w:rPr>
        <w:t>承包人在基础施工前应向监理单位报审塔吊基础方案，经监理审核后再根据上述方案调整基础施工方案。因工期较紧，承包人必须于地下室底板结构施工前完成塔吊安装。承包人必须自行解决塔吊安装前的垂直运输问题，承包人必须免费提供垂直运输设备用于锚杆、桩基等检测单位垂直运输设备和工具，包括配合锚杆、桩基础等检测工作。发包人不再签署任何关于该问题的签证。即该部分费用由承包人综合考虑。</w:t>
      </w:r>
    </w:p>
    <w:p>
      <w:pPr>
        <w:pStyle w:val="714"/>
        <w:numPr>
          <w:ilvl w:val="0"/>
          <w:numId w:val="7"/>
        </w:numPr>
        <w:autoSpaceDE w:val="0"/>
        <w:autoSpaceDN w:val="0"/>
        <w:adjustRightInd w:val="0"/>
        <w:spacing w:line="360" w:lineRule="auto"/>
        <w:ind w:firstLineChars="0"/>
        <w:jc w:val="left"/>
        <w:outlineLvl w:val="1"/>
        <w:rPr>
          <w:rFonts w:ascii="宋体" w:hAnsi="宋体"/>
          <w:b/>
          <w:color w:val="auto"/>
          <w:szCs w:val="21"/>
          <w:highlight w:val="none"/>
        </w:rPr>
      </w:pPr>
      <w:r>
        <w:rPr>
          <w:rFonts w:ascii="宋体" w:hAnsi="宋体"/>
          <w:b/>
          <w:color w:val="auto"/>
          <w:szCs w:val="21"/>
          <w:highlight w:val="none"/>
        </w:rPr>
        <w:t>施工电梯（包括人货梯）安装要求</w:t>
      </w:r>
    </w:p>
    <w:p>
      <w:pPr>
        <w:spacing w:line="360" w:lineRule="auto"/>
        <w:rPr>
          <w:rFonts w:ascii="宋体" w:hAnsi="宋体"/>
          <w:color w:val="auto"/>
          <w:szCs w:val="21"/>
          <w:highlight w:val="none"/>
        </w:rPr>
      </w:pPr>
      <w:r>
        <w:rPr>
          <w:rFonts w:ascii="宋体" w:hAnsi="宋体"/>
          <w:color w:val="auto"/>
          <w:szCs w:val="21"/>
          <w:highlight w:val="none"/>
        </w:rPr>
        <w:t xml:space="preserve">   施工电梯（包括人货梯）安装位置要求尽量避开样板</w:t>
      </w:r>
      <w:r>
        <w:rPr>
          <w:rFonts w:hint="eastAsia" w:ascii="宋体" w:hAnsi="宋体"/>
          <w:color w:val="auto"/>
          <w:szCs w:val="21"/>
          <w:highlight w:val="none"/>
        </w:rPr>
        <w:t>展示</w:t>
      </w:r>
      <w:r>
        <w:rPr>
          <w:rFonts w:ascii="宋体" w:hAnsi="宋体"/>
          <w:color w:val="auto"/>
          <w:szCs w:val="21"/>
          <w:highlight w:val="none"/>
        </w:rPr>
        <w:t>区域</w:t>
      </w:r>
      <w:r>
        <w:rPr>
          <w:rFonts w:hint="eastAsia" w:ascii="宋体" w:hAnsi="宋体"/>
          <w:color w:val="auto"/>
          <w:szCs w:val="21"/>
          <w:highlight w:val="none"/>
        </w:rPr>
        <w:t>、地下室设备用房、主电缆走向</w:t>
      </w:r>
      <w:r>
        <w:rPr>
          <w:rFonts w:ascii="宋体" w:hAnsi="宋体"/>
          <w:color w:val="auto"/>
          <w:szCs w:val="21"/>
          <w:highlight w:val="none"/>
        </w:rPr>
        <w:t>等涉及销售</w:t>
      </w:r>
      <w:r>
        <w:rPr>
          <w:rFonts w:hint="eastAsia" w:ascii="宋体" w:hAnsi="宋体"/>
          <w:color w:val="auto"/>
          <w:szCs w:val="21"/>
          <w:highlight w:val="none"/>
        </w:rPr>
        <w:t>和会影响验收</w:t>
      </w:r>
      <w:r>
        <w:rPr>
          <w:rFonts w:ascii="宋体" w:hAnsi="宋体"/>
          <w:color w:val="auto"/>
          <w:szCs w:val="21"/>
          <w:highlight w:val="none"/>
        </w:rPr>
        <w:t>的区域，</w:t>
      </w:r>
      <w:r>
        <w:rPr>
          <w:rFonts w:hint="eastAsia"/>
          <w:color w:val="auto"/>
          <w:szCs w:val="21"/>
          <w:highlight w:val="none"/>
        </w:rPr>
        <w:t>所设位置要尽量避开穿越楼板，</w:t>
      </w:r>
      <w:r>
        <w:rPr>
          <w:rFonts w:hint="eastAsia" w:ascii="宋体" w:hAnsi="宋体"/>
          <w:color w:val="auto"/>
          <w:szCs w:val="21"/>
          <w:highlight w:val="none"/>
        </w:rPr>
        <w:t>具体位置须经发包人同意</w:t>
      </w:r>
      <w:r>
        <w:rPr>
          <w:rFonts w:ascii="宋体" w:hAnsi="宋体"/>
          <w:color w:val="auto"/>
          <w:szCs w:val="21"/>
          <w:highlight w:val="none"/>
        </w:rPr>
        <w:t>。</w:t>
      </w:r>
      <w:r>
        <w:rPr>
          <w:rFonts w:hint="eastAsia" w:ascii="宋体" w:hAnsi="宋体"/>
          <w:color w:val="auto"/>
          <w:highlight w:val="none"/>
        </w:rPr>
        <w:t>在每栋必须安装1台双笼人货</w:t>
      </w:r>
      <w:r>
        <w:rPr>
          <w:rFonts w:hint="eastAsia" w:ascii="宋体" w:hAnsi="宋体"/>
          <w:color w:val="auto"/>
          <w:szCs w:val="21"/>
          <w:highlight w:val="none"/>
        </w:rPr>
        <w:t>。</w:t>
      </w:r>
    </w:p>
    <w:p>
      <w:pPr>
        <w:pStyle w:val="714"/>
        <w:numPr>
          <w:ilvl w:val="0"/>
          <w:numId w:val="7"/>
        </w:numPr>
        <w:autoSpaceDE w:val="0"/>
        <w:autoSpaceDN w:val="0"/>
        <w:adjustRightInd w:val="0"/>
        <w:spacing w:line="360" w:lineRule="auto"/>
        <w:ind w:firstLineChars="0"/>
        <w:jc w:val="left"/>
        <w:outlineLvl w:val="1"/>
        <w:rPr>
          <w:rFonts w:ascii="宋体" w:hAnsi="宋体"/>
          <w:color w:val="auto"/>
          <w:szCs w:val="21"/>
          <w:highlight w:val="none"/>
        </w:rPr>
      </w:pPr>
      <w:r>
        <w:rPr>
          <w:rFonts w:ascii="宋体" w:hAnsi="宋体"/>
          <w:b/>
          <w:color w:val="auto"/>
          <w:szCs w:val="21"/>
          <w:highlight w:val="none"/>
        </w:rPr>
        <w:t>地下室结构防水技术要求：</w:t>
      </w:r>
    </w:p>
    <w:p>
      <w:pPr>
        <w:pStyle w:val="60"/>
        <w:spacing w:line="360" w:lineRule="auto"/>
        <w:ind w:firstLineChars="200"/>
        <w:rPr>
          <w:rFonts w:ascii="宋体" w:hAnsi="宋体"/>
          <w:color w:val="auto"/>
          <w:szCs w:val="21"/>
          <w:highlight w:val="none"/>
        </w:rPr>
      </w:pPr>
      <w:r>
        <w:rPr>
          <w:rFonts w:hint="eastAsia" w:ascii="宋体" w:hAnsi="宋体"/>
          <w:color w:val="auto"/>
          <w:szCs w:val="21"/>
          <w:highlight w:val="none"/>
        </w:rPr>
        <w:t>本工程地下室防水以设计图纸为准。承包人必须在施工方案中考虑技术措施用以保证地下室防渗漏。要求详细列明施工方法、防渗漏措施，以及本合同防水及试漏要求、保修要求等。</w:t>
      </w:r>
    </w:p>
    <w:p>
      <w:pPr>
        <w:pStyle w:val="714"/>
        <w:numPr>
          <w:ilvl w:val="0"/>
          <w:numId w:val="7"/>
        </w:numPr>
        <w:autoSpaceDE w:val="0"/>
        <w:autoSpaceDN w:val="0"/>
        <w:adjustRightInd w:val="0"/>
        <w:spacing w:line="360" w:lineRule="auto"/>
        <w:ind w:firstLineChars="0"/>
        <w:jc w:val="left"/>
        <w:outlineLvl w:val="1"/>
        <w:rPr>
          <w:rFonts w:ascii="宋体" w:hAnsi="宋体"/>
          <w:color w:val="auto"/>
          <w:szCs w:val="21"/>
          <w:highlight w:val="none"/>
        </w:rPr>
      </w:pPr>
      <w:r>
        <w:rPr>
          <w:rFonts w:ascii="宋体" w:hAnsi="宋体"/>
          <w:b/>
          <w:color w:val="auto"/>
          <w:szCs w:val="21"/>
          <w:highlight w:val="none"/>
        </w:rPr>
        <w:t>化粪池施工技术要求：</w:t>
      </w:r>
    </w:p>
    <w:p>
      <w:pPr>
        <w:spacing w:line="360" w:lineRule="auto"/>
        <w:ind w:firstLine="411" w:firstLineChars="196"/>
        <w:rPr>
          <w:rFonts w:ascii="宋体" w:hAnsi="宋体"/>
          <w:color w:val="auto"/>
          <w:szCs w:val="21"/>
          <w:highlight w:val="none"/>
        </w:rPr>
      </w:pPr>
      <w:r>
        <w:rPr>
          <w:rFonts w:hint="eastAsia" w:ascii="宋体" w:hAnsi="宋体"/>
          <w:color w:val="auto"/>
          <w:szCs w:val="21"/>
          <w:highlight w:val="none"/>
        </w:rPr>
        <w:t>在地下结构施工期间，承包人插入化粪池及建筑物周边管线施工，在基坑回填前完成，在看楼通道及售楼展示区范围内的地下管线也需提前插入施工。</w:t>
      </w:r>
    </w:p>
    <w:p>
      <w:pPr>
        <w:pStyle w:val="714"/>
        <w:numPr>
          <w:ilvl w:val="0"/>
          <w:numId w:val="7"/>
        </w:numPr>
        <w:autoSpaceDE w:val="0"/>
        <w:autoSpaceDN w:val="0"/>
        <w:adjustRightInd w:val="0"/>
        <w:spacing w:line="360" w:lineRule="auto"/>
        <w:ind w:left="590" w:hanging="448" w:firstLineChars="0"/>
        <w:jc w:val="left"/>
        <w:outlineLvl w:val="1"/>
        <w:rPr>
          <w:rFonts w:ascii="宋体" w:hAnsi="宋体" w:cs="FangSong,Bold"/>
          <w:b/>
          <w:bCs/>
          <w:color w:val="auto"/>
          <w:kern w:val="0"/>
          <w:szCs w:val="21"/>
          <w:highlight w:val="none"/>
          <w:u w:val="single"/>
        </w:rPr>
      </w:pPr>
      <w:r>
        <w:rPr>
          <w:rFonts w:hint="eastAsia" w:ascii="宋体" w:hAnsi="宋体" w:cs="FangSong,Bold"/>
          <w:b/>
          <w:bCs/>
          <w:color w:val="auto"/>
          <w:kern w:val="0"/>
          <w:szCs w:val="21"/>
          <w:highlight w:val="none"/>
          <w:u w:val="single"/>
        </w:rPr>
        <w:t>危险性较大的分部分项工程安全管理规定</w:t>
      </w:r>
    </w:p>
    <w:p>
      <w:pPr>
        <w:spacing w:line="360" w:lineRule="auto"/>
        <w:ind w:left="412" w:leftChars="196"/>
        <w:jc w:val="left"/>
        <w:outlineLvl w:val="1"/>
        <w:rPr>
          <w:rFonts w:ascii="宋体" w:hAnsi="宋体"/>
          <w:color w:val="auto"/>
          <w:szCs w:val="21"/>
          <w:highlight w:val="none"/>
        </w:rPr>
      </w:pPr>
      <w:r>
        <w:rPr>
          <w:rFonts w:ascii="宋体" w:hAnsi="宋体"/>
          <w:color w:val="auto"/>
          <w:szCs w:val="21"/>
          <w:highlight w:val="none"/>
        </w:rPr>
        <w:t>危险性较大的分部分项工程（简称“危大工程”），是指房屋建筑和市政基础设施工程在施工过程中，容易导致人员群死群伤或者造成重大经济损失的分部分项工程。专项施工方案应当由施工</w:t>
      </w:r>
      <w:r>
        <w:rPr>
          <w:rFonts w:hint="eastAsia" w:ascii="宋体" w:hAnsi="宋体"/>
          <w:color w:val="auto"/>
          <w:szCs w:val="21"/>
          <w:highlight w:val="none"/>
        </w:rPr>
        <w:t>承包人</w:t>
      </w:r>
      <w:r>
        <w:rPr>
          <w:rFonts w:ascii="宋体" w:hAnsi="宋体"/>
          <w:color w:val="auto"/>
          <w:szCs w:val="21"/>
          <w:highlight w:val="none"/>
        </w:rPr>
        <w:t>组织编制，</w:t>
      </w:r>
      <w:r>
        <w:rPr>
          <w:rFonts w:hint="eastAsia" w:ascii="宋体" w:hAnsi="宋体"/>
          <w:color w:val="auto"/>
          <w:szCs w:val="21"/>
          <w:highlight w:val="none"/>
        </w:rPr>
        <w:t>投标人</w:t>
      </w:r>
      <w:r>
        <w:rPr>
          <w:rFonts w:ascii="宋体" w:hAnsi="宋体"/>
          <w:color w:val="auto"/>
          <w:szCs w:val="21"/>
          <w:highlight w:val="none"/>
        </w:rPr>
        <w:t>需根据</w:t>
      </w:r>
      <w:r>
        <w:rPr>
          <w:rFonts w:hint="eastAsia" w:ascii="宋体" w:hAnsi="宋体"/>
          <w:color w:val="auto"/>
          <w:szCs w:val="21"/>
          <w:highlight w:val="none"/>
        </w:rPr>
        <w:t>招标人</w:t>
      </w:r>
      <w:r>
        <w:rPr>
          <w:rFonts w:ascii="宋体" w:hAnsi="宋体"/>
          <w:color w:val="auto"/>
          <w:szCs w:val="21"/>
          <w:highlight w:val="none"/>
        </w:rPr>
        <w:t>在技术文件中提供的危大工程清单，填报相应的专项施工方案及安全管理措施。关于危大工程的专项施工方案、专家条件、专家库管理、专家论证内容、检测方案内容、验收人员、现场安全管理、法律责任等要求参见现行政府相关文件。危大工程清单列表详见本章约定。</w:t>
      </w:r>
    </w:p>
    <w:p>
      <w:pPr>
        <w:pStyle w:val="714"/>
        <w:numPr>
          <w:ilvl w:val="0"/>
          <w:numId w:val="7"/>
        </w:numPr>
        <w:autoSpaceDE w:val="0"/>
        <w:autoSpaceDN w:val="0"/>
        <w:adjustRightInd w:val="0"/>
        <w:spacing w:line="360" w:lineRule="auto"/>
        <w:ind w:firstLineChars="0"/>
        <w:jc w:val="left"/>
        <w:outlineLvl w:val="1"/>
        <w:rPr>
          <w:rFonts w:ascii="宋体" w:hAnsi="宋体"/>
          <w:b/>
          <w:color w:val="auto"/>
          <w:szCs w:val="21"/>
          <w:highlight w:val="none"/>
        </w:rPr>
      </w:pPr>
      <w:r>
        <w:rPr>
          <w:rFonts w:ascii="宋体" w:hAnsi="宋体"/>
          <w:b/>
          <w:color w:val="auto"/>
          <w:szCs w:val="21"/>
          <w:highlight w:val="none"/>
        </w:rPr>
        <w:t>需要</w:t>
      </w:r>
      <w:r>
        <w:rPr>
          <w:rFonts w:hint="eastAsia" w:ascii="宋体" w:hAnsi="宋体"/>
          <w:b/>
          <w:color w:val="auto"/>
          <w:szCs w:val="21"/>
          <w:highlight w:val="none"/>
        </w:rPr>
        <w:t>承包人</w:t>
      </w:r>
      <w:r>
        <w:rPr>
          <w:rFonts w:ascii="宋体" w:hAnsi="宋体"/>
          <w:b/>
          <w:color w:val="auto"/>
          <w:szCs w:val="21"/>
          <w:highlight w:val="none"/>
        </w:rPr>
        <w:t>提供如下专项方案：</w:t>
      </w:r>
    </w:p>
    <w:p>
      <w:pPr>
        <w:numPr>
          <w:ilvl w:val="1"/>
          <w:numId w:val="23"/>
        </w:numPr>
        <w:spacing w:line="360" w:lineRule="auto"/>
        <w:ind w:hanging="630"/>
        <w:rPr>
          <w:rFonts w:ascii="宋体" w:hAnsi="宋体"/>
          <w:color w:val="auto"/>
          <w:szCs w:val="21"/>
          <w:highlight w:val="none"/>
        </w:rPr>
      </w:pPr>
      <w:r>
        <w:rPr>
          <w:rFonts w:hint="eastAsia" w:ascii="宋体" w:hAnsi="宋体"/>
          <w:color w:val="auto"/>
          <w:highlight w:val="none"/>
        </w:rPr>
        <w:t>投标人可在施工组织设计中包含以下专项方案，也可以单独单列，这些专项方案是报价技术文件的必要组成部分。各专项方案日后若需要根据现场条件进行合理调整的，需重新报送监理单位审核，承包人承担因改动产生的所有费用</w:t>
      </w:r>
      <w:r>
        <w:rPr>
          <w:rFonts w:hint="eastAsia" w:ascii="宋体" w:hAnsi="宋体"/>
          <w:color w:val="auto"/>
          <w:szCs w:val="21"/>
          <w:highlight w:val="none"/>
        </w:rPr>
        <w:t>。</w:t>
      </w:r>
    </w:p>
    <w:p>
      <w:pPr>
        <w:numPr>
          <w:ilvl w:val="1"/>
          <w:numId w:val="23"/>
        </w:numPr>
        <w:spacing w:line="360" w:lineRule="auto"/>
        <w:ind w:hanging="630"/>
        <w:rPr>
          <w:rFonts w:ascii="宋体" w:hAnsi="宋体"/>
          <w:b/>
          <w:bCs/>
          <w:color w:val="auto"/>
          <w:szCs w:val="21"/>
          <w:highlight w:val="none"/>
          <w:u w:val="single"/>
        </w:rPr>
      </w:pPr>
      <w:r>
        <w:rPr>
          <w:rFonts w:hint="eastAsia" w:ascii="宋体" w:hAnsi="宋体"/>
          <w:b/>
          <w:bCs/>
          <w:color w:val="auto"/>
          <w:szCs w:val="21"/>
          <w:highlight w:val="none"/>
        </w:rPr>
        <w:t>总平面布置方案：</w:t>
      </w:r>
    </w:p>
    <w:p>
      <w:pPr>
        <w:spacing w:line="480" w:lineRule="exact"/>
        <w:ind w:firstLine="310" w:firstLineChars="148"/>
        <w:rPr>
          <w:rFonts w:ascii="宋体" w:hAnsi="宋体"/>
          <w:color w:val="auto"/>
          <w:highlight w:val="none"/>
        </w:rPr>
      </w:pPr>
      <w:r>
        <w:rPr>
          <w:rFonts w:hint="eastAsia" w:ascii="宋体" w:hAnsi="宋体"/>
          <w:color w:val="auto"/>
          <w:highlight w:val="none"/>
        </w:rPr>
        <w:t>参考资料：施工现场条件；边线与围墙的关系；招标人对配合售楼的要求；周边建筑物影响及交通情况。施工单位根据上述资料统筹安排，做好施工总平面布置。</w:t>
      </w:r>
    </w:p>
    <w:p>
      <w:pPr>
        <w:spacing w:line="480" w:lineRule="exact"/>
        <w:ind w:firstLine="310" w:firstLineChars="148"/>
        <w:rPr>
          <w:rFonts w:ascii="宋体" w:hAnsi="宋体"/>
          <w:color w:val="auto"/>
          <w:highlight w:val="none"/>
        </w:rPr>
      </w:pPr>
      <w:r>
        <w:rPr>
          <w:rFonts w:hint="eastAsia" w:ascii="宋体" w:hAnsi="宋体"/>
          <w:color w:val="auto"/>
          <w:highlight w:val="none"/>
        </w:rPr>
        <w:t>要求：总平面布置图需反映包括临时设施设置位置、大型设备设置位置，供水供电线路，有组织排水做法，现场交通出入口设置情况、现场作业场区、施工设备的布置、半成品和原材料的堆放（包括日后各单位材料对方位置）、后备电源及消防水池设置等；提供4个阶段的施工总平面布置方案：基坑施工阶段；主体地库施工完成阶段（盖板地库未完成）；主体及盖板地库完成阶段；顶板回填土施工阶段；装修施工阶段的施工总平面布置（要包括考虑各专业分包、直接承包人的管理办公室，材料仓库等的设置）</w:t>
      </w:r>
    </w:p>
    <w:p>
      <w:pPr>
        <w:spacing w:line="360" w:lineRule="auto"/>
        <w:ind w:firstLine="310" w:firstLineChars="148"/>
        <w:rPr>
          <w:rFonts w:ascii="宋体" w:hAnsi="宋体"/>
          <w:color w:val="auto"/>
          <w:szCs w:val="21"/>
          <w:highlight w:val="none"/>
        </w:rPr>
      </w:pPr>
      <w:r>
        <w:rPr>
          <w:rFonts w:hint="eastAsia" w:ascii="宋体" w:hAnsi="宋体"/>
          <w:color w:val="auto"/>
          <w:highlight w:val="none"/>
        </w:rPr>
        <w:t>注意事项：1、提供基础施工阶段的平面布置。施工范围较大，场地狭长，承包人在总平面布置时需统筹考虑，合理布置临设和材料堆放场地。安排好出土路线；2、施工段的划分，地库开挖区临时材料加工堆放场地腾挪，承包人可根据场地实际情况在现场安排施工及加工场地，承包人要充分考虑现场人员办公及住宿方面存在的困难；3、由于本项目3栋主楼预售节点必须按时达成，施工平面布置要充分考虑此项内容，具体要求见技术条件。4、项目现场可能出现临设场地狭小等各种特殊情况，投标人需要充分考虑实际情况，自行解决为完成工程所必要的所有临时设施与措施，如需租赁场地，场地外交通等相关的费用应在报价中考虑。</w:t>
      </w:r>
      <w:r>
        <w:rPr>
          <w:rFonts w:ascii="宋体" w:hAnsi="宋体"/>
          <w:color w:val="auto"/>
          <w:highlight w:val="none"/>
        </w:rPr>
        <w:t>5</w:t>
      </w:r>
      <w:r>
        <w:rPr>
          <w:rFonts w:hint="eastAsia" w:ascii="宋体" w:hAnsi="宋体"/>
          <w:color w:val="auto"/>
          <w:highlight w:val="none"/>
        </w:rPr>
        <w:t>、发包人提供的场地仅供承包人用于材料设备堆放，人员住宿及办公的地点由承包人自行考虑</w:t>
      </w:r>
      <w:r>
        <w:rPr>
          <w:rFonts w:ascii="宋体" w:hAnsi="宋体"/>
          <w:color w:val="auto"/>
          <w:szCs w:val="21"/>
          <w:highlight w:val="none"/>
        </w:rPr>
        <w:t>。</w:t>
      </w:r>
    </w:p>
    <w:p>
      <w:pPr>
        <w:numPr>
          <w:ilvl w:val="1"/>
          <w:numId w:val="23"/>
        </w:numPr>
        <w:spacing w:line="360" w:lineRule="auto"/>
        <w:ind w:hanging="630"/>
        <w:rPr>
          <w:rFonts w:ascii="宋体" w:hAnsi="宋体"/>
          <w:b/>
          <w:bCs/>
          <w:color w:val="auto"/>
          <w:szCs w:val="21"/>
          <w:highlight w:val="none"/>
          <w:u w:val="single"/>
        </w:rPr>
      </w:pPr>
      <w:r>
        <w:rPr>
          <w:rFonts w:hint="eastAsia" w:ascii="宋体" w:hAnsi="宋体"/>
          <w:color w:val="auto"/>
          <w:szCs w:val="21"/>
          <w:highlight w:val="none"/>
        </w:rPr>
        <w:t>保证</w:t>
      </w:r>
      <w:r>
        <w:rPr>
          <w:rFonts w:hint="eastAsia" w:ascii="宋体" w:hAnsi="宋体"/>
          <w:b/>
          <w:bCs/>
          <w:color w:val="auto"/>
          <w:szCs w:val="21"/>
          <w:highlight w:val="none"/>
        </w:rPr>
        <w:t>工期专项技术方案：</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参考资料：发包人提供的进度节点，总工期要求。</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w:t>
      </w:r>
      <w:r>
        <w:rPr>
          <w:rFonts w:ascii="宋体" w:hAnsi="宋体"/>
          <w:color w:val="auto"/>
          <w:szCs w:val="21"/>
          <w:highlight w:val="none"/>
        </w:rPr>
        <w:t>1、因本项目施工工期较紧，特别是对于优先区的工期较紧，要求</w:t>
      </w:r>
      <w:r>
        <w:rPr>
          <w:rFonts w:hint="eastAsia" w:ascii="宋体" w:hAnsi="宋体"/>
          <w:color w:val="auto"/>
          <w:szCs w:val="21"/>
          <w:highlight w:val="none"/>
        </w:rPr>
        <w:t>承包人</w:t>
      </w:r>
      <w:r>
        <w:rPr>
          <w:rFonts w:ascii="宋体" w:hAnsi="宋体"/>
          <w:color w:val="auto"/>
          <w:szCs w:val="21"/>
          <w:highlight w:val="none"/>
        </w:rPr>
        <w:t>报送工期保证措施，明确具体周转材料投入（模板套数等），人力、设备投入情况；尤其是注明拟投入的塔吊、人货梯等大型设备的使用计划，注明拆除人货梯后电梯的使用计划；2、提供一级控制节点的深化计划，保证按期完成的措施。</w:t>
      </w:r>
    </w:p>
    <w:p>
      <w:pPr>
        <w:numPr>
          <w:ilvl w:val="1"/>
          <w:numId w:val="23"/>
        </w:numPr>
        <w:spacing w:line="360" w:lineRule="auto"/>
        <w:ind w:hanging="630"/>
        <w:rPr>
          <w:rFonts w:ascii="宋体" w:hAnsi="宋体"/>
          <w:b/>
          <w:bCs/>
          <w:color w:val="auto"/>
          <w:szCs w:val="21"/>
          <w:highlight w:val="none"/>
          <w:u w:val="single"/>
        </w:rPr>
      </w:pPr>
      <w:r>
        <w:rPr>
          <w:rFonts w:hint="eastAsia" w:ascii="宋体" w:hAnsi="宋体"/>
          <w:b/>
          <w:bCs/>
          <w:color w:val="auto"/>
          <w:szCs w:val="21"/>
          <w:highlight w:val="none"/>
        </w:rPr>
        <w:t>雨天及其它不利条件下的施工措施：</w:t>
      </w:r>
    </w:p>
    <w:p>
      <w:pPr>
        <w:tabs>
          <w:tab w:val="left" w:pos="840"/>
        </w:tabs>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承包单位必须参考《地质勘察报告》及天气，充分考虑在暴雨及其它不利条件下会遇到影响施工进度时需采取的施工措施。例如桩机或其它机械出现陷机，桩施工遇到不明障碍物等情况，承包人需自行采取清障，填砖渣等措施，该项费用由投标人综合考虑，均包含在投标人的报价中。</w:t>
      </w:r>
    </w:p>
    <w:p>
      <w:pPr>
        <w:numPr>
          <w:ilvl w:val="1"/>
          <w:numId w:val="23"/>
        </w:numPr>
        <w:spacing w:line="360" w:lineRule="auto"/>
        <w:ind w:hanging="630"/>
        <w:rPr>
          <w:rFonts w:ascii="宋体" w:hAnsi="宋体"/>
          <w:b/>
          <w:color w:val="auto"/>
          <w:szCs w:val="21"/>
          <w:highlight w:val="none"/>
        </w:rPr>
      </w:pPr>
      <w:r>
        <w:rPr>
          <w:rFonts w:hint="eastAsia" w:ascii="宋体" w:hAnsi="宋体"/>
          <w:color w:val="auto"/>
          <w:szCs w:val="21"/>
          <w:highlight w:val="none"/>
        </w:rPr>
        <w:t>基础</w:t>
      </w:r>
      <w:r>
        <w:rPr>
          <w:rFonts w:hint="eastAsia" w:ascii="宋体" w:hAnsi="宋体"/>
          <w:b/>
          <w:color w:val="auto"/>
          <w:szCs w:val="21"/>
          <w:highlight w:val="none"/>
        </w:rPr>
        <w:t>施工期间基坑安全管理专项方案：</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参考资料：《岩土工程勘察报告》《基坑支护结构施工图》，施工现场条件；放线册；物探报告及附图；相关规范、规定要求。</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要求：全面充分地掌握整个施工场地的地质面貌和场地条件，以及基坑支护的实际施工状况，提前预估基础施工期间基坑可能存在的安全问题，做好相应的安全管理专项方案，从而合理安排组织施工。</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bCs/>
          <w:color w:val="auto"/>
          <w:szCs w:val="21"/>
          <w:highlight w:val="none"/>
        </w:rPr>
        <w:t>配合发包人</w:t>
      </w:r>
      <w:r>
        <w:rPr>
          <w:rFonts w:hint="eastAsia" w:ascii="宋体" w:hAnsi="宋体"/>
          <w:b/>
          <w:color w:val="auto"/>
          <w:szCs w:val="21"/>
          <w:highlight w:val="none"/>
        </w:rPr>
        <w:t>营销活动的专项施工方案：</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参考资料：施工条件。</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要求：根据计划、发包人要求，提供专项配合方案。</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注意事项：</w:t>
      </w:r>
      <w:r>
        <w:rPr>
          <w:rFonts w:ascii="宋体" w:hAnsi="宋体"/>
          <w:color w:val="auto"/>
          <w:szCs w:val="21"/>
          <w:highlight w:val="none"/>
        </w:rPr>
        <w:t>1、及时向</w:t>
      </w:r>
      <w:r>
        <w:rPr>
          <w:rFonts w:hint="eastAsia" w:ascii="宋体" w:hAnsi="宋体"/>
          <w:color w:val="auto"/>
          <w:szCs w:val="21"/>
          <w:highlight w:val="none"/>
        </w:rPr>
        <w:t>发包人</w:t>
      </w:r>
      <w:r>
        <w:rPr>
          <w:rFonts w:ascii="宋体" w:hAnsi="宋体"/>
          <w:color w:val="auto"/>
          <w:szCs w:val="21"/>
          <w:highlight w:val="none"/>
        </w:rPr>
        <w:t>方</w:t>
      </w:r>
      <w:r>
        <w:rPr>
          <w:rFonts w:hint="eastAsia"/>
          <w:color w:val="auto"/>
          <w:szCs w:val="21"/>
          <w:highlight w:val="none"/>
        </w:rPr>
        <w:t>提供符合要求的样板区（含样板间、售楼通道及售楼园林景观）的用电电源，并为样板区日常维护及清洁用水提供相应的便利条件</w:t>
      </w:r>
      <w:r>
        <w:rPr>
          <w:rFonts w:hint="eastAsia" w:ascii="宋体" w:hAnsi="宋体"/>
          <w:color w:val="auto"/>
          <w:szCs w:val="21"/>
          <w:highlight w:val="none"/>
        </w:rPr>
        <w:t>；</w:t>
      </w:r>
      <w:r>
        <w:rPr>
          <w:rFonts w:ascii="宋体" w:hAnsi="宋体"/>
          <w:color w:val="auto"/>
          <w:szCs w:val="21"/>
          <w:highlight w:val="none"/>
        </w:rPr>
        <w:t>2、及时清理并移交样板区域的施工场地(含样板房、售楼园林景观、售楼通道、售楼电梯等)；3、外脚手架方案必须明确响应配合</w:t>
      </w:r>
      <w:r>
        <w:rPr>
          <w:rFonts w:hint="eastAsia" w:ascii="宋体" w:hAnsi="宋体"/>
          <w:color w:val="auto"/>
          <w:szCs w:val="21"/>
          <w:highlight w:val="none"/>
        </w:rPr>
        <w:t>发包人</w:t>
      </w:r>
      <w:r>
        <w:rPr>
          <w:rFonts w:ascii="宋体" w:hAnsi="宋体"/>
          <w:color w:val="auto"/>
          <w:szCs w:val="21"/>
          <w:highlight w:val="none"/>
        </w:rPr>
        <w:t>售楼要求的处理方案。4、及时</w:t>
      </w:r>
      <w:r>
        <w:rPr>
          <w:rFonts w:hint="eastAsia"/>
          <w:color w:val="auto"/>
          <w:szCs w:val="21"/>
          <w:highlight w:val="none"/>
        </w:rPr>
        <w:t>提供符合要求的电梯调试电源</w:t>
      </w:r>
      <w:r>
        <w:rPr>
          <w:rFonts w:hint="eastAsia" w:ascii="宋体" w:hAnsi="宋体"/>
          <w:color w:val="auto"/>
          <w:szCs w:val="21"/>
          <w:highlight w:val="none"/>
        </w:rPr>
        <w:t>。</w:t>
      </w:r>
    </w:p>
    <w:p>
      <w:pPr>
        <w:numPr>
          <w:ilvl w:val="1"/>
          <w:numId w:val="23"/>
        </w:numPr>
        <w:spacing w:line="360" w:lineRule="auto"/>
        <w:ind w:hanging="630"/>
        <w:rPr>
          <w:rFonts w:ascii="宋体" w:hAnsi="宋体"/>
          <w:b/>
          <w:color w:val="auto"/>
          <w:szCs w:val="21"/>
          <w:highlight w:val="none"/>
          <w:u w:val="single"/>
        </w:rPr>
      </w:pPr>
      <w:r>
        <w:rPr>
          <w:rFonts w:hint="eastAsia"/>
          <w:b/>
          <w:color w:val="auto"/>
          <w:szCs w:val="21"/>
          <w:highlight w:val="none"/>
        </w:rPr>
        <w:t>周围高压线缆、</w:t>
      </w:r>
      <w:r>
        <w:rPr>
          <w:rFonts w:hint="eastAsia" w:ascii="宋体" w:hAnsi="宋体"/>
          <w:b/>
          <w:bCs/>
          <w:color w:val="auto"/>
          <w:szCs w:val="21"/>
          <w:highlight w:val="none"/>
        </w:rPr>
        <w:t>地下管</w:t>
      </w:r>
      <w:r>
        <w:rPr>
          <w:rFonts w:hint="eastAsia" w:ascii="宋体" w:hAnsi="宋体"/>
          <w:b/>
          <w:color w:val="auto"/>
          <w:szCs w:val="21"/>
          <w:highlight w:val="none"/>
        </w:rPr>
        <w:t>线和绿化树木专项防护措施：</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参考资料：施工条件。</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要求：详细阅读施工条件，针对现场条件制定专项方案。</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bCs/>
          <w:color w:val="auto"/>
          <w:szCs w:val="21"/>
          <w:highlight w:val="none"/>
        </w:rPr>
        <w:t>总包施</w:t>
      </w:r>
      <w:r>
        <w:rPr>
          <w:rFonts w:hint="eastAsia" w:ascii="宋体" w:hAnsi="宋体"/>
          <w:b/>
          <w:color w:val="auto"/>
          <w:szCs w:val="21"/>
          <w:highlight w:val="none"/>
        </w:rPr>
        <w:t>工管理制度：</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参考资料：穗建筑【</w:t>
      </w:r>
      <w:r>
        <w:rPr>
          <w:rFonts w:ascii="宋体" w:hAnsi="宋体"/>
          <w:color w:val="auto"/>
          <w:szCs w:val="21"/>
          <w:highlight w:val="none"/>
        </w:rPr>
        <w:t>2006】709号文。</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w:t>
      </w:r>
      <w:r>
        <w:rPr>
          <w:rFonts w:ascii="宋体" w:hAnsi="宋体"/>
          <w:color w:val="auto"/>
          <w:szCs w:val="21"/>
          <w:highlight w:val="none"/>
        </w:rPr>
        <w:t>1、制定管理制度，按建委要求在各单位进场施工前签订总分包管理协议，制定管理协议的范本。2、针对移交问题，要建立移交制度，委派专职质检员跟进，事前制定质量控制的具体措施，特别是控制墙体轴线位置、墙体裂缝、空鼓、天花结构标高、批荡平整度，要有专项的防治措施（墙体裂缝），事中做好控制，事</w:t>
      </w:r>
      <w:r>
        <w:rPr>
          <w:rFonts w:hint="eastAsia" w:ascii="宋体" w:hAnsi="宋体"/>
          <w:color w:val="auto"/>
          <w:szCs w:val="21"/>
          <w:highlight w:val="none"/>
        </w:rPr>
        <w:t>后配合装修单位分阶段检查，发现存在问题及时整改，以便保证工程进度；</w:t>
      </w:r>
      <w:r>
        <w:rPr>
          <w:rFonts w:ascii="宋体" w:hAnsi="宋体"/>
          <w:color w:val="auto"/>
          <w:szCs w:val="21"/>
          <w:highlight w:val="none"/>
        </w:rPr>
        <w:t>3、制定工地现场的防盗、产品保护相应措施，制定治安管理制度。4、对装修、市政、铝窗等专业单位的管理制度。5、及对各单位进场施工收取其管理配合费、施工水、电费等收费制度。</w:t>
      </w:r>
    </w:p>
    <w:p>
      <w:pPr>
        <w:numPr>
          <w:ilvl w:val="1"/>
          <w:numId w:val="23"/>
        </w:numPr>
        <w:spacing w:line="360" w:lineRule="auto"/>
        <w:ind w:hanging="630"/>
        <w:rPr>
          <w:rFonts w:ascii="宋体" w:hAnsi="宋体"/>
          <w:b/>
          <w:color w:val="auto"/>
          <w:szCs w:val="21"/>
          <w:highlight w:val="none"/>
          <w:u w:val="single"/>
        </w:rPr>
      </w:pPr>
      <w:r>
        <w:rPr>
          <w:rFonts w:ascii="宋体" w:hAnsi="宋体"/>
          <w:b/>
          <w:bCs/>
          <w:color w:val="auto"/>
          <w:szCs w:val="21"/>
          <w:highlight w:val="none"/>
        </w:rPr>
        <w:t>施工临时</w:t>
      </w:r>
      <w:r>
        <w:rPr>
          <w:rFonts w:hint="eastAsia" w:ascii="宋体" w:hAnsi="宋体"/>
          <w:b/>
          <w:bCs/>
          <w:color w:val="auto"/>
          <w:szCs w:val="21"/>
          <w:highlight w:val="none"/>
        </w:rPr>
        <w:t>消防方</w:t>
      </w:r>
      <w:r>
        <w:rPr>
          <w:rFonts w:hint="eastAsia" w:ascii="宋体" w:hAnsi="宋体"/>
          <w:b/>
          <w:color w:val="auto"/>
          <w:szCs w:val="21"/>
          <w:highlight w:val="none"/>
        </w:rPr>
        <w:t>案：</w:t>
      </w:r>
    </w:p>
    <w:p>
      <w:pPr>
        <w:spacing w:line="480" w:lineRule="exact"/>
        <w:ind w:firstLine="310" w:firstLineChars="148"/>
        <w:rPr>
          <w:rFonts w:ascii="宋体" w:hAnsi="宋体"/>
          <w:color w:val="auto"/>
          <w:highlight w:val="none"/>
        </w:rPr>
      </w:pPr>
      <w:r>
        <w:rPr>
          <w:rFonts w:hint="eastAsia" w:ascii="宋体" w:hAnsi="宋体"/>
          <w:color w:val="auto"/>
          <w:highlight w:val="none"/>
        </w:rPr>
        <w:t>要求：1、因项目属于超高层建筑，需明确消防供水系统如何设置；2、制定检查消防设施效用的制度；3、制定应急方案；4、需明确如何总、分包单位的消防责任，管理范围。5、需制定消防验收计划，包括联动调试、取得第三方检测报告、预验收。</w:t>
      </w:r>
    </w:p>
    <w:p>
      <w:pPr>
        <w:spacing w:line="360" w:lineRule="auto"/>
        <w:ind w:firstLine="310" w:firstLineChars="148"/>
        <w:rPr>
          <w:rFonts w:ascii="宋体" w:hAnsi="宋体"/>
          <w:color w:val="auto"/>
          <w:szCs w:val="21"/>
          <w:highlight w:val="none"/>
        </w:rPr>
      </w:pPr>
      <w:r>
        <w:rPr>
          <w:rFonts w:hint="eastAsia" w:ascii="宋体" w:hAnsi="宋体"/>
          <w:color w:val="auto"/>
          <w:highlight w:val="none"/>
        </w:rPr>
        <w:t>需明确消防供水系统如何设置，充分考虑消防泵扬程，要满足使用要求，需实行分区供水，另外要考虑消防水泵的自动启动系统，考虑足够负荷的后备电源，确保消防安全；制定检查消防设施效用的制度，确保消防设备能起到作用；制定应急方案；需明确如何总、分包单位的消防责任，管理范围</w:t>
      </w:r>
      <w:r>
        <w:rPr>
          <w:rFonts w:hint="eastAsia" w:ascii="宋体" w:hAnsi="宋体"/>
          <w:color w:val="auto"/>
          <w:szCs w:val="21"/>
          <w:highlight w:val="none"/>
        </w:rPr>
        <w:t>。</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施工临时用电方案：</w:t>
      </w:r>
    </w:p>
    <w:p>
      <w:pPr>
        <w:spacing w:line="360" w:lineRule="auto"/>
        <w:ind w:firstLine="315" w:firstLineChars="150"/>
        <w:rPr>
          <w:rFonts w:ascii="宋体" w:hAnsi="宋体"/>
          <w:color w:val="auto"/>
          <w:szCs w:val="21"/>
          <w:highlight w:val="none"/>
        </w:rPr>
      </w:pPr>
      <w:r>
        <w:rPr>
          <w:rFonts w:hint="eastAsia" w:ascii="宋体" w:hAnsi="宋体"/>
          <w:color w:val="auto"/>
          <w:szCs w:val="21"/>
          <w:highlight w:val="none"/>
        </w:rPr>
        <w:t>要求：根据施工条件综合考虑，须满足施工各阶段各分包投入施工的需要，满足发包人销售需要。包括以下内容：在用电负荷供应不足时保证正常施工的供电措施，用电负荷计算、供电总平面、配电线路及配电装置设计与现场线路布置、接地设计、安全用电与电气防火措施等内容。</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临电开通前用电的专项方案</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参考资料：施工条件中对于临电的描述。施工初期无临电供给，承包人需自备发电机组或采用其它措施解决临设施工及生活用电。</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要求：测算在临电正式供应前施工中所需的各种用电设备及其用电功率，从而配备符合工程施工需要的发电机或发电机组，满足正常的工程进度需求。</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安全生产专项施工方案：</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要求：（</w:t>
      </w:r>
      <w:r>
        <w:rPr>
          <w:rFonts w:ascii="宋体" w:hAnsi="宋体"/>
          <w:color w:val="auto"/>
          <w:szCs w:val="21"/>
          <w:highlight w:val="none"/>
        </w:rPr>
        <w:t>1）提供安全生产责任制度（含考核办法）；提供安全生产教育、培训、交底制度；提供安全检查、验收制度；提供设备运行、维修、保养管理制度；提供安全生产操作规程；提供班前安全活动制度；提供消防管理制度（含临时动火管理）；提供治安保卫（含门卫）制度；提供工地生活区管理制度等。</w:t>
      </w:r>
    </w:p>
    <w:p>
      <w:pPr>
        <w:spacing w:line="360" w:lineRule="auto"/>
        <w:ind w:firstLine="400" w:firstLineChars="200"/>
        <w:rPr>
          <w:rFonts w:ascii="宋体" w:hAnsi="宋体"/>
          <w:color w:val="auto"/>
          <w:sz w:val="20"/>
          <w:szCs w:val="21"/>
          <w:highlight w:val="none"/>
        </w:rPr>
      </w:pPr>
      <w:r>
        <w:rPr>
          <w:rFonts w:hint="eastAsia" w:ascii="宋体" w:hAnsi="宋体"/>
          <w:color w:val="auto"/>
          <w:sz w:val="20"/>
          <w:szCs w:val="21"/>
          <w:highlight w:val="none"/>
        </w:rPr>
        <w:t>（</w:t>
      </w:r>
      <w:r>
        <w:rPr>
          <w:rFonts w:ascii="宋体" w:hAnsi="宋体"/>
          <w:color w:val="auto"/>
          <w:sz w:val="20"/>
          <w:szCs w:val="21"/>
          <w:highlight w:val="none"/>
        </w:rPr>
        <w:t>2）</w:t>
      </w:r>
      <w:r>
        <w:rPr>
          <w:rFonts w:hint="eastAsia" w:ascii="宋体" w:hAnsi="宋体"/>
          <w:color w:val="auto"/>
          <w:highlight w:val="none"/>
        </w:rPr>
        <w:t>考虑到本超高层项目的建筑高度，同时，在施工过程中也采用了大量的大型机械设备以及外爬架、模板系统等存在大量高空坠落的安全隐患，因此，安全生产专项施工方案中必须包括对所有重大危险源的完善的安全防护措施</w:t>
      </w:r>
      <w:r>
        <w:rPr>
          <w:rFonts w:ascii="宋体" w:hAnsi="宋体"/>
          <w:color w:val="auto"/>
          <w:sz w:val="20"/>
          <w:szCs w:val="21"/>
          <w:highlight w:val="none"/>
        </w:rPr>
        <w:t>。</w:t>
      </w:r>
    </w:p>
    <w:p>
      <w:pPr>
        <w:spacing w:line="360" w:lineRule="auto"/>
        <w:ind w:firstLine="400" w:firstLineChars="200"/>
        <w:rPr>
          <w:rFonts w:ascii="宋体" w:hAnsi="宋体"/>
          <w:color w:val="auto"/>
          <w:sz w:val="20"/>
          <w:szCs w:val="21"/>
          <w:highlight w:val="none"/>
        </w:rPr>
      </w:pPr>
      <w:r>
        <w:rPr>
          <w:rFonts w:hint="eastAsia" w:ascii="宋体" w:hAnsi="宋体"/>
          <w:color w:val="auto"/>
          <w:sz w:val="20"/>
          <w:szCs w:val="21"/>
          <w:highlight w:val="none"/>
        </w:rPr>
        <w:t>（</w:t>
      </w:r>
      <w:r>
        <w:rPr>
          <w:rFonts w:ascii="宋体" w:hAnsi="宋体"/>
          <w:color w:val="auto"/>
          <w:sz w:val="20"/>
          <w:szCs w:val="21"/>
          <w:highlight w:val="none"/>
        </w:rPr>
        <w:t>3）安全生产专项施工方案中应包括吊装安全措施、外爬架及模板施工安全措施、塔吊使用安全措施、洞口及临边围蔽防护专项方案、防止高空坠物专项方案（包括塔楼安全水平挡板的设置方法）、施工现场照明设施布置方案、事故应急救援预案等。</w:t>
      </w:r>
    </w:p>
    <w:p>
      <w:pPr>
        <w:spacing w:line="360" w:lineRule="auto"/>
        <w:ind w:firstLine="400" w:firstLineChars="200"/>
        <w:rPr>
          <w:rFonts w:ascii="宋体" w:hAnsi="宋体"/>
          <w:color w:val="auto"/>
          <w:szCs w:val="21"/>
          <w:highlight w:val="none"/>
        </w:rPr>
      </w:pPr>
      <w:r>
        <w:rPr>
          <w:rFonts w:hint="eastAsia" w:ascii="宋体" w:hAnsi="宋体"/>
          <w:color w:val="auto"/>
          <w:sz w:val="20"/>
          <w:szCs w:val="21"/>
          <w:highlight w:val="none"/>
        </w:rPr>
        <w:t>（</w:t>
      </w:r>
      <w:r>
        <w:rPr>
          <w:rFonts w:ascii="宋体" w:hAnsi="宋体"/>
          <w:color w:val="auto"/>
          <w:sz w:val="20"/>
          <w:szCs w:val="21"/>
          <w:highlight w:val="none"/>
        </w:rPr>
        <w:t>4）</w:t>
      </w:r>
      <w:r>
        <w:rPr>
          <w:rFonts w:hint="eastAsia" w:ascii="宋体" w:hAnsi="宋体"/>
          <w:color w:val="auto"/>
          <w:sz w:val="20"/>
          <w:szCs w:val="21"/>
          <w:highlight w:val="none"/>
        </w:rPr>
        <w:t>承包人</w:t>
      </w:r>
      <w:r>
        <w:rPr>
          <w:rFonts w:ascii="宋体" w:hAnsi="宋体"/>
          <w:color w:val="auto"/>
          <w:sz w:val="20"/>
          <w:szCs w:val="21"/>
          <w:highlight w:val="none"/>
        </w:rPr>
        <w:t>须根据</w:t>
      </w:r>
      <w:r>
        <w:rPr>
          <w:rFonts w:hint="eastAsia" w:ascii="宋体" w:hAnsi="宋体"/>
          <w:color w:val="auto"/>
          <w:sz w:val="20"/>
          <w:szCs w:val="21"/>
          <w:highlight w:val="none"/>
        </w:rPr>
        <w:t>《危险性较大的分部分项工程安全管理规定》（住房和城乡建设部令第</w:t>
      </w:r>
      <w:r>
        <w:rPr>
          <w:rFonts w:ascii="宋体" w:hAnsi="宋体"/>
          <w:color w:val="auto"/>
          <w:sz w:val="20"/>
          <w:szCs w:val="21"/>
          <w:highlight w:val="none"/>
        </w:rPr>
        <w:t>37））以表格形式列出所有危险性较大以及超过一定规模危险性较大的分部分项工程，列明是否需要组织专家论证。</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防尘、防噪声专项方案：</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参考资料：现场条件；</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要求：根据要求现场条件，制定专项防尘、防噪声的方案要体现针对项目周边居民和单位制定相关措施，防止引起投诉。</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工程质量保证专项方案：</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要求：根据本项目施工图纸和规范要求，有针对性地制定工程质量保证措施。另外</w:t>
      </w:r>
      <w:r>
        <w:rPr>
          <w:rFonts w:ascii="宋体" w:hAnsi="宋体"/>
          <w:color w:val="auto"/>
          <w:szCs w:val="21"/>
          <w:highlight w:val="none"/>
        </w:rPr>
        <w:t>专门提供溶</w:t>
      </w:r>
      <w:r>
        <w:rPr>
          <w:rFonts w:hint="eastAsia" w:ascii="宋体" w:hAnsi="宋体"/>
          <w:color w:val="auto"/>
          <w:szCs w:val="21"/>
          <w:highlight w:val="none"/>
        </w:rPr>
        <w:t>（土）</w:t>
      </w:r>
      <w:r>
        <w:rPr>
          <w:rFonts w:ascii="宋体" w:hAnsi="宋体"/>
          <w:color w:val="auto"/>
          <w:szCs w:val="21"/>
          <w:highlight w:val="none"/>
        </w:rPr>
        <w:t>洞</w:t>
      </w:r>
      <w:r>
        <w:rPr>
          <w:rFonts w:hint="eastAsia" w:ascii="宋体" w:hAnsi="宋体"/>
          <w:color w:val="auto"/>
          <w:szCs w:val="21"/>
          <w:highlight w:val="none"/>
        </w:rPr>
        <w:t>处理</w:t>
      </w:r>
      <w:r>
        <w:rPr>
          <w:rFonts w:ascii="宋体" w:hAnsi="宋体"/>
          <w:color w:val="auto"/>
          <w:szCs w:val="21"/>
          <w:highlight w:val="none"/>
        </w:rPr>
        <w:t>专项方案，以保证基础工程的正常进行和</w:t>
      </w:r>
      <w:r>
        <w:rPr>
          <w:rFonts w:hint="eastAsia" w:ascii="宋体" w:hAnsi="宋体"/>
          <w:color w:val="auto"/>
          <w:szCs w:val="21"/>
          <w:highlight w:val="none"/>
        </w:rPr>
        <w:t>施工</w:t>
      </w:r>
      <w:r>
        <w:rPr>
          <w:rFonts w:ascii="宋体" w:hAnsi="宋体"/>
          <w:color w:val="auto"/>
          <w:szCs w:val="21"/>
          <w:highlight w:val="none"/>
        </w:rPr>
        <w:t>质量。</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模板工程、高支模及支撑体系专项方案</w:t>
      </w:r>
    </w:p>
    <w:p>
      <w:pPr>
        <w:pStyle w:val="60"/>
        <w:spacing w:line="360" w:lineRule="auto"/>
        <w:ind w:firstLine="315" w:firstLineChars="150"/>
        <w:rPr>
          <w:rFonts w:ascii="宋体" w:hAnsi="宋体"/>
          <w:color w:val="auto"/>
          <w:szCs w:val="21"/>
          <w:highlight w:val="none"/>
        </w:rPr>
      </w:pPr>
      <w:r>
        <w:rPr>
          <w:rFonts w:hint="eastAsia" w:ascii="宋体" w:hAnsi="宋体"/>
          <w:color w:val="auto"/>
          <w:szCs w:val="21"/>
          <w:highlight w:val="none"/>
        </w:rPr>
        <w:t>参考资料：住房和城乡建设部《危险性较大的分部分项工程安全管理规定》（住房和城乡建设部令第</w:t>
      </w:r>
      <w:r>
        <w:rPr>
          <w:rFonts w:ascii="宋体" w:hAnsi="宋体"/>
          <w:color w:val="auto"/>
          <w:szCs w:val="21"/>
          <w:highlight w:val="none"/>
        </w:rPr>
        <w:t>37号）。广州市住建委颁布的《关于推进全市超过一定规模危险性较大的混凝土模板支撑工程和承重支撑体系自动化安全监测工作的通知》穗建质〔2017〕1006号文</w:t>
      </w:r>
      <w:r>
        <w:rPr>
          <w:rFonts w:hint="eastAsia" w:ascii="宋体" w:hAnsi="宋体"/>
          <w:color w:val="auto"/>
          <w:szCs w:val="21"/>
          <w:highlight w:val="none"/>
        </w:rPr>
        <w:t>。</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要求：对于超出规定的模板工程及支撑体系的方案，需要有计算书、布置图节点图等，甚至需专家论证，方案需具有针对性和可操作性；施工时高大支模支撑体系自动化安全监测系统安装。</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外脚手架搭建、拆除专项施工方案：</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参考资料：施工条件。</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要求：根据计划、发包人要求，提供专项配合方案，提供外栏杆防护方案。</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对发电机安装和环保处理工程的专项方案</w:t>
      </w:r>
    </w:p>
    <w:p>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要求包括以下内容：</w:t>
      </w:r>
      <w:r>
        <w:rPr>
          <w:rFonts w:ascii="宋体" w:hAnsi="宋体"/>
          <w:color w:val="auto"/>
          <w:szCs w:val="21"/>
          <w:highlight w:val="none"/>
        </w:rPr>
        <w:t>1、在发电机安装和环保处理工程依据总体进度计划，确定施工搭接计划，设备到场需求计划，以及施工过程中的设备看守保护措施。对照施工图纸确定排风、送风、排烟管道内壁的密封具体要求，对施工质量进行过程监督检查，确保其满足密封要求。2、做好污水处理设备及管道安装，及时对穿管孔</w:t>
      </w:r>
      <w:r>
        <w:rPr>
          <w:rFonts w:hint="eastAsia" w:ascii="宋体" w:hAnsi="宋体"/>
          <w:color w:val="auto"/>
          <w:szCs w:val="21"/>
          <w:highlight w:val="none"/>
        </w:rPr>
        <w:t>洞进行封堵，作好防水、抹面收口处理，对有腐蚀性污水，配合做好防腐处理。</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提供发包人用于样板展示区的临时用电、给排水专项方案</w:t>
      </w:r>
    </w:p>
    <w:p>
      <w:pPr>
        <w:spacing w:line="480" w:lineRule="exact"/>
        <w:ind w:firstLine="420" w:firstLineChars="200"/>
        <w:rPr>
          <w:rFonts w:ascii="宋体" w:hAnsi="宋体"/>
          <w:color w:val="auto"/>
          <w:szCs w:val="21"/>
          <w:highlight w:val="none"/>
          <w:u w:val="single"/>
        </w:rPr>
      </w:pPr>
      <w:r>
        <w:rPr>
          <w:rFonts w:hint="eastAsia" w:ascii="宋体" w:hAnsi="宋体"/>
          <w:color w:val="auto"/>
          <w:highlight w:val="none"/>
        </w:rPr>
        <w:t>要求包括以下内容：预留</w:t>
      </w:r>
      <w:r>
        <w:rPr>
          <w:rFonts w:ascii="宋体" w:hAnsi="宋体"/>
          <w:color w:val="auto"/>
          <w:highlight w:val="none"/>
        </w:rPr>
        <w:t>250kw全新专线配合招标人样板展示区、商业楼及示范间、示范区园建景观使用。</w:t>
      </w:r>
    </w:p>
    <w:p>
      <w:pPr>
        <w:numPr>
          <w:ilvl w:val="1"/>
          <w:numId w:val="23"/>
        </w:numPr>
        <w:spacing w:line="360" w:lineRule="auto"/>
        <w:ind w:hanging="630"/>
        <w:rPr>
          <w:rFonts w:ascii="宋体" w:hAnsi="宋体"/>
          <w:b/>
          <w:color w:val="auto"/>
          <w:szCs w:val="21"/>
          <w:highlight w:val="none"/>
          <w:u w:val="single"/>
        </w:rPr>
      </w:pPr>
      <w:r>
        <w:rPr>
          <w:rFonts w:hint="eastAsia" w:ascii="宋体" w:hAnsi="宋体"/>
          <w:b/>
          <w:color w:val="auto"/>
          <w:szCs w:val="21"/>
          <w:highlight w:val="none"/>
        </w:rPr>
        <w:t>事故应急救援预案：</w:t>
      </w:r>
    </w:p>
    <w:p>
      <w:pPr>
        <w:spacing w:line="360" w:lineRule="auto"/>
        <w:ind w:firstLine="310" w:firstLineChars="148"/>
        <w:rPr>
          <w:rFonts w:ascii="宋体" w:hAnsi="宋体"/>
          <w:color w:val="auto"/>
          <w:szCs w:val="21"/>
          <w:highlight w:val="none"/>
        </w:rPr>
      </w:pPr>
      <w:r>
        <w:rPr>
          <w:rFonts w:hint="eastAsia" w:ascii="宋体" w:hAnsi="宋体"/>
          <w:color w:val="auto"/>
          <w:szCs w:val="21"/>
          <w:highlight w:val="none"/>
        </w:rPr>
        <w:t>要求：按广州市质量安全监督部门的要求编制；包括以下内容：安全管理机构的设置（要求由承包人组织，建立由承包人公司领导为首的事故应急小组），危险源的分析、确定及分布，突发事故发生的应急处理方法，防止违章和事故的安全规定，急救技术及常备药品安全技术措施，高处坠落事故的预防及其应急预案，物体打击事故的预防及其应急预案，机械伤害事故的预防及其应急预案，坍塌事故的预防及其应急预案，触电事故的预防及其应急预案，支模安装工程事故应急预案支模拆除工程事故应急预案，龙门架、井字架使用、装拆应急预案，外用电梯使用、装、拆应急预案，塔式起重机使用、装、拆应急预案，火灾事故的预防及应急预案，中暑事故的预防及应急预案，中毒事故的预防及应急预案，发生粉尘事故应急预案，交通事故的预防及其应急预案等。</w:t>
      </w:r>
    </w:p>
    <w:p>
      <w:pPr>
        <w:numPr>
          <w:ilvl w:val="1"/>
          <w:numId w:val="23"/>
        </w:numPr>
        <w:spacing w:line="360" w:lineRule="auto"/>
        <w:ind w:hanging="630"/>
        <w:rPr>
          <w:rFonts w:ascii="宋体" w:hAnsi="宋体"/>
          <w:b/>
          <w:bCs/>
          <w:color w:val="auto"/>
          <w:szCs w:val="21"/>
          <w:highlight w:val="none"/>
        </w:rPr>
      </w:pPr>
      <w:r>
        <w:rPr>
          <w:rFonts w:ascii="宋体" w:hAnsi="宋体"/>
          <w:b/>
          <w:bCs/>
          <w:color w:val="auto"/>
          <w:szCs w:val="21"/>
          <w:highlight w:val="none"/>
        </w:rPr>
        <w:t>防渗漏专项方案</w:t>
      </w:r>
    </w:p>
    <w:p>
      <w:pPr>
        <w:spacing w:line="360" w:lineRule="auto"/>
        <w:rPr>
          <w:rFonts w:ascii="宋体" w:hAnsi="宋体"/>
          <w:color w:val="auto"/>
          <w:szCs w:val="21"/>
          <w:highlight w:val="none"/>
        </w:rPr>
      </w:pPr>
      <w:r>
        <w:rPr>
          <w:rFonts w:ascii="宋体" w:hAnsi="宋体"/>
          <w:color w:val="auto"/>
          <w:szCs w:val="21"/>
          <w:highlight w:val="none"/>
        </w:rPr>
        <w:t xml:space="preserve">  要求包括以下内容：屋面、卫生间、厨房、阳台、窗边、外墙、管位、地下室、电梯底坑等部位的防渗漏的处理措施。</w:t>
      </w:r>
    </w:p>
    <w:p>
      <w:pPr>
        <w:numPr>
          <w:ilvl w:val="1"/>
          <w:numId w:val="23"/>
        </w:numPr>
        <w:spacing w:line="360" w:lineRule="auto"/>
        <w:ind w:hanging="630"/>
        <w:rPr>
          <w:rFonts w:ascii="宋体" w:hAnsi="宋体"/>
          <w:b/>
          <w:bCs/>
          <w:color w:val="auto"/>
          <w:szCs w:val="21"/>
          <w:highlight w:val="none"/>
        </w:rPr>
      </w:pPr>
      <w:r>
        <w:rPr>
          <w:rFonts w:hint="eastAsia" w:ascii="宋体" w:hAnsi="宋体"/>
          <w:b/>
          <w:bCs/>
          <w:color w:val="auto"/>
          <w:szCs w:val="21"/>
          <w:highlight w:val="none"/>
        </w:rPr>
        <w:t>实测</w:t>
      </w:r>
      <w:r>
        <w:rPr>
          <w:rFonts w:ascii="宋体" w:hAnsi="宋体"/>
          <w:b/>
          <w:bCs/>
          <w:color w:val="auto"/>
          <w:szCs w:val="21"/>
          <w:highlight w:val="none"/>
        </w:rPr>
        <w:t>实量方案</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ascii="宋体" w:hAnsi="宋体"/>
          <w:bCs/>
          <w:color w:val="auto"/>
          <w:szCs w:val="21"/>
          <w:highlight w:val="none"/>
        </w:rPr>
        <w:t>要求：实测实量方案要求包括结构、</w:t>
      </w:r>
      <w:r>
        <w:rPr>
          <w:rFonts w:hint="eastAsia" w:ascii="宋体" w:hAnsi="宋体"/>
          <w:bCs/>
          <w:color w:val="auto"/>
          <w:szCs w:val="21"/>
          <w:highlight w:val="none"/>
        </w:rPr>
        <w:t>砌体、抹灰、</w:t>
      </w:r>
      <w:r>
        <w:rPr>
          <w:rFonts w:ascii="宋体" w:hAnsi="宋体"/>
          <w:bCs/>
          <w:color w:val="auto"/>
          <w:szCs w:val="21"/>
          <w:highlight w:val="none"/>
        </w:rPr>
        <w:t>装修等施工阶段的实测实量内容，包括但不限于以下内容（1）</w:t>
      </w:r>
      <w:r>
        <w:rPr>
          <w:rFonts w:hint="eastAsia" w:ascii="宋体" w:hAnsi="宋体" w:cs="仿宋"/>
          <w:bCs/>
          <w:color w:val="auto"/>
          <w:kern w:val="0"/>
          <w:szCs w:val="21"/>
          <w:highlight w:val="none"/>
        </w:rPr>
        <w:t>所有施工工序要求承包人进行自检并将检查情况现场标注在工程实体上，不满足规范要求误差范围的要求立即进行整改或返工。自检或质检的内容包括但不仅限于：墙面平整度、垂直度、阴阳角方正度、内外墙门窗洞口尺寸、门窗洞口两边墙体厚度、天花平整度等。内外墙门窗洞口边必须弹设洞口顶及洞口两侧控制线，所有墙体边均需在地面弹设墙体控制线，天花底需弹设水平控制线。（</w:t>
      </w:r>
      <w:r>
        <w:rPr>
          <w:rFonts w:ascii="宋体" w:hAnsi="宋体" w:cs="仿宋"/>
          <w:bCs/>
          <w:color w:val="auto"/>
          <w:kern w:val="0"/>
          <w:szCs w:val="21"/>
          <w:highlight w:val="none"/>
        </w:rPr>
        <w:t>2）整改前以及整改后的数据必须移交监理单位。</w:t>
      </w:r>
    </w:p>
    <w:p>
      <w:pPr>
        <w:numPr>
          <w:ilvl w:val="1"/>
          <w:numId w:val="23"/>
        </w:numPr>
        <w:spacing w:line="360" w:lineRule="auto"/>
        <w:ind w:hanging="630"/>
        <w:rPr>
          <w:rFonts w:ascii="宋体" w:hAnsi="宋体" w:cs="仿宋"/>
          <w:b/>
          <w:color w:val="auto"/>
          <w:kern w:val="0"/>
          <w:szCs w:val="21"/>
          <w:highlight w:val="none"/>
        </w:rPr>
      </w:pPr>
      <w:r>
        <w:rPr>
          <w:rFonts w:ascii="宋体" w:hAnsi="宋体" w:cs="仿宋"/>
          <w:b/>
          <w:color w:val="auto"/>
          <w:kern w:val="0"/>
          <w:szCs w:val="21"/>
          <w:highlight w:val="none"/>
        </w:rPr>
        <w:t>防雷工程专项方案</w:t>
      </w:r>
    </w:p>
    <w:p>
      <w:pPr>
        <w:autoSpaceDE w:val="0"/>
        <w:autoSpaceDN w:val="0"/>
        <w:adjustRightInd w:val="0"/>
        <w:spacing w:line="360" w:lineRule="auto"/>
        <w:ind w:firstLine="312"/>
        <w:jc w:val="left"/>
        <w:rPr>
          <w:rFonts w:ascii="宋体" w:hAnsi="宋体" w:cs="仿宋"/>
          <w:b/>
          <w:color w:val="auto"/>
          <w:kern w:val="0"/>
          <w:szCs w:val="21"/>
          <w:highlight w:val="none"/>
        </w:rPr>
      </w:pPr>
      <w:r>
        <w:rPr>
          <w:rFonts w:hint="eastAsia" w:ascii="宋体" w:hAnsi="宋体" w:cs="仿宋"/>
          <w:b/>
          <w:color w:val="auto"/>
          <w:kern w:val="0"/>
          <w:szCs w:val="21"/>
          <w:highlight w:val="none"/>
        </w:rPr>
        <w:t>参考资料：发包人提供进度节点，总工期要求。</w:t>
      </w:r>
    </w:p>
    <w:p>
      <w:pPr>
        <w:autoSpaceDE w:val="0"/>
        <w:autoSpaceDN w:val="0"/>
        <w:adjustRightInd w:val="0"/>
        <w:spacing w:line="360" w:lineRule="auto"/>
        <w:jc w:val="left"/>
        <w:rPr>
          <w:rFonts w:ascii="宋体" w:hAnsi="宋体" w:cs="仿宋"/>
          <w:bCs/>
          <w:color w:val="auto"/>
          <w:kern w:val="0"/>
          <w:szCs w:val="21"/>
          <w:highlight w:val="none"/>
        </w:rPr>
      </w:pPr>
      <w:r>
        <w:rPr>
          <w:rFonts w:hint="eastAsia" w:ascii="宋体" w:hAnsi="宋体" w:cs="仿宋"/>
          <w:bCs/>
          <w:color w:val="auto"/>
          <w:kern w:val="0"/>
          <w:szCs w:val="21"/>
          <w:highlight w:val="none"/>
        </w:rPr>
        <w:t>要求：用电及高空作业的防范措施；与防雷所、气象局协调方式，及时取得防雷验收合格证明。</w:t>
      </w:r>
    </w:p>
    <w:p>
      <w:pPr>
        <w:numPr>
          <w:ilvl w:val="1"/>
          <w:numId w:val="23"/>
        </w:numPr>
        <w:spacing w:line="360" w:lineRule="auto"/>
        <w:ind w:hanging="630"/>
        <w:rPr>
          <w:rFonts w:ascii="宋体" w:hAnsi="宋体" w:cs="仿宋"/>
          <w:b/>
          <w:color w:val="auto"/>
          <w:kern w:val="0"/>
          <w:szCs w:val="21"/>
          <w:highlight w:val="none"/>
        </w:rPr>
      </w:pPr>
      <w:r>
        <w:rPr>
          <w:rFonts w:ascii="宋体" w:hAnsi="宋体" w:cs="仿宋"/>
          <w:b/>
          <w:color w:val="auto"/>
          <w:kern w:val="0"/>
          <w:szCs w:val="21"/>
          <w:highlight w:val="none"/>
        </w:rPr>
        <w:t>白蚁防治、地坪、车道、车位划线、人防场地移交专项方案</w:t>
      </w:r>
    </w:p>
    <w:p>
      <w:pPr>
        <w:autoSpaceDE w:val="0"/>
        <w:autoSpaceDN w:val="0"/>
        <w:adjustRightInd w:val="0"/>
        <w:spacing w:line="360" w:lineRule="auto"/>
        <w:ind w:firstLine="420" w:firstLineChars="200"/>
        <w:jc w:val="left"/>
        <w:rPr>
          <w:rFonts w:ascii="宋体" w:hAnsi="宋体" w:cs="仿宋"/>
          <w:bCs/>
          <w:color w:val="auto"/>
          <w:kern w:val="0"/>
          <w:szCs w:val="21"/>
          <w:highlight w:val="none"/>
        </w:rPr>
      </w:pPr>
      <w:r>
        <w:rPr>
          <w:rFonts w:hint="eastAsia" w:ascii="宋体" w:hAnsi="宋体" w:cs="仿宋"/>
          <w:bCs/>
          <w:color w:val="auto"/>
          <w:kern w:val="0"/>
          <w:szCs w:val="21"/>
          <w:highlight w:val="none"/>
        </w:rPr>
        <w:t>要求：针对场地移交问题，要建立移交制度，发现存在问题及时整改，现场不能存在积水现象，提供照明设备，场地潮湿时必须有相应处理措施。</w:t>
      </w:r>
    </w:p>
    <w:p>
      <w:pPr>
        <w:numPr>
          <w:ilvl w:val="1"/>
          <w:numId w:val="23"/>
        </w:numPr>
        <w:spacing w:line="360" w:lineRule="auto"/>
        <w:ind w:hanging="630"/>
        <w:rPr>
          <w:rFonts w:ascii="宋体" w:hAnsi="宋体" w:cs="仿宋"/>
          <w:b/>
          <w:color w:val="auto"/>
          <w:kern w:val="0"/>
          <w:szCs w:val="21"/>
          <w:highlight w:val="none"/>
        </w:rPr>
      </w:pPr>
      <w:r>
        <w:rPr>
          <w:rFonts w:ascii="宋体" w:hAnsi="宋体" w:cs="仿宋"/>
          <w:b/>
          <w:color w:val="auto"/>
          <w:kern w:val="0"/>
          <w:szCs w:val="21"/>
          <w:highlight w:val="none"/>
        </w:rPr>
        <w:t>二次施工专项方案</w:t>
      </w:r>
    </w:p>
    <w:p>
      <w:pPr>
        <w:tabs>
          <w:tab w:val="left" w:pos="1620"/>
        </w:tabs>
        <w:spacing w:line="360" w:lineRule="auto"/>
        <w:ind w:firstLine="420" w:firstLineChars="200"/>
        <w:rPr>
          <w:rFonts w:ascii="宋体" w:hAnsi="宋体"/>
          <w:color w:val="auto"/>
          <w:kern w:val="0"/>
          <w:szCs w:val="21"/>
          <w:highlight w:val="none"/>
        </w:rPr>
      </w:pPr>
      <w:r>
        <w:rPr>
          <w:rFonts w:hint="eastAsia" w:ascii="宋体" w:hAnsi="宋体"/>
          <w:color w:val="auto"/>
          <w:kern w:val="0"/>
          <w:szCs w:val="21"/>
          <w:highlight w:val="none"/>
        </w:rPr>
        <w:t>根据发包人设计要求及规划验收计划要求，商品房计划在竣工验收后再进行楼层分隔、砌筑工作等，楼层分隔高度见施工图。</w:t>
      </w:r>
    </w:p>
    <w:p>
      <w:pPr>
        <w:tabs>
          <w:tab w:val="left" w:pos="1620"/>
        </w:tabs>
        <w:spacing w:line="360" w:lineRule="auto"/>
        <w:ind w:firstLine="420" w:firstLineChars="200"/>
        <w:rPr>
          <w:rFonts w:ascii="宋体" w:hAnsi="宋体"/>
          <w:color w:val="auto"/>
          <w:kern w:val="0"/>
          <w:szCs w:val="21"/>
          <w:highlight w:val="none"/>
        </w:rPr>
      </w:pPr>
      <w:r>
        <w:rPr>
          <w:rFonts w:hint="eastAsia" w:ascii="宋体" w:hAnsi="宋体"/>
          <w:color w:val="auto"/>
          <w:kern w:val="0"/>
          <w:szCs w:val="21"/>
          <w:highlight w:val="none"/>
        </w:rPr>
        <w:t>要求承包人针对该工序及施工时间制定楼层分隔二次施工的专项方案，主要包括二次施工的相关垂直运输及成品保护等措施，保证各单位的人力、材料的运输畅通。</w:t>
      </w:r>
    </w:p>
    <w:p>
      <w:pPr>
        <w:numPr>
          <w:ilvl w:val="1"/>
          <w:numId w:val="23"/>
        </w:numPr>
        <w:spacing w:line="360" w:lineRule="auto"/>
        <w:ind w:hanging="630"/>
        <w:rPr>
          <w:rFonts w:ascii="宋体" w:hAnsi="宋体"/>
          <w:b/>
          <w:bCs/>
          <w:color w:val="auto"/>
          <w:kern w:val="0"/>
          <w:szCs w:val="21"/>
          <w:highlight w:val="none"/>
        </w:rPr>
      </w:pPr>
      <w:r>
        <w:rPr>
          <w:rFonts w:ascii="宋体" w:hAnsi="宋体"/>
          <w:b/>
          <w:bCs/>
          <w:color w:val="auto"/>
          <w:kern w:val="0"/>
          <w:szCs w:val="21"/>
          <w:highlight w:val="none"/>
        </w:rPr>
        <w:t xml:space="preserve"> </w:t>
      </w:r>
      <w:r>
        <w:rPr>
          <w:rFonts w:hint="eastAsia" w:ascii="宋体" w:hAnsi="宋体"/>
          <w:b/>
          <w:bCs/>
          <w:color w:val="auto"/>
          <w:kern w:val="0"/>
          <w:szCs w:val="21"/>
          <w:highlight w:val="none"/>
        </w:rPr>
        <w:t>未领取施工许可证期间的生产管理专项方案</w:t>
      </w:r>
    </w:p>
    <w:p>
      <w:pPr>
        <w:spacing w:line="360" w:lineRule="auto"/>
        <w:rPr>
          <w:rFonts w:ascii="宋体" w:hAnsi="宋体"/>
          <w:color w:val="auto"/>
          <w:kern w:val="0"/>
          <w:szCs w:val="21"/>
          <w:highlight w:val="none"/>
        </w:rPr>
      </w:pPr>
      <w:r>
        <w:rPr>
          <w:rFonts w:ascii="宋体" w:hAnsi="宋体"/>
          <w:color w:val="auto"/>
          <w:kern w:val="0"/>
          <w:szCs w:val="21"/>
          <w:highlight w:val="none"/>
        </w:rPr>
        <w:t xml:space="preserve">     包括各政府、街道职能部门的协调沟通专项思路方案，保证生产顺利进行和措施，以及对未领取施工许可证前的所有施工的主体工程如何纳入政府职能部门最终验收的专项方案。</w:t>
      </w:r>
    </w:p>
    <w:p>
      <w:pPr>
        <w:numPr>
          <w:ilvl w:val="1"/>
          <w:numId w:val="23"/>
        </w:numPr>
        <w:spacing w:line="360" w:lineRule="auto"/>
        <w:ind w:hanging="630"/>
        <w:rPr>
          <w:rFonts w:ascii="宋体" w:hAnsi="宋体"/>
          <w:b/>
          <w:bCs/>
          <w:color w:val="auto"/>
          <w:highlight w:val="none"/>
        </w:rPr>
      </w:pPr>
      <w:r>
        <w:rPr>
          <w:rFonts w:hint="eastAsia" w:ascii="宋体" w:hAnsi="宋体"/>
          <w:b/>
          <w:bCs/>
          <w:color w:val="auto"/>
          <w:highlight w:val="none"/>
        </w:rPr>
        <w:t>基础施工期间基坑安全管理专项方案</w:t>
      </w:r>
    </w:p>
    <w:p>
      <w:pPr>
        <w:spacing w:line="480" w:lineRule="exact"/>
        <w:rPr>
          <w:rFonts w:ascii="宋体" w:hAnsi="宋体"/>
          <w:color w:val="auto"/>
          <w:highlight w:val="none"/>
        </w:rPr>
      </w:pPr>
      <w:r>
        <w:rPr>
          <w:rFonts w:hint="eastAsia" w:ascii="宋体" w:hAnsi="宋体"/>
          <w:color w:val="auto"/>
          <w:highlight w:val="none"/>
        </w:rPr>
        <w:t>参考资料：《岩土工程勘察报告》《基坑支护结构施工图》，施工现场条件；放线册；物探报告及附图；相关规范、规定要求。</w:t>
      </w:r>
    </w:p>
    <w:p>
      <w:pPr>
        <w:spacing w:line="480" w:lineRule="exact"/>
        <w:rPr>
          <w:rFonts w:ascii="宋体" w:hAnsi="宋体"/>
          <w:color w:val="auto"/>
          <w:highlight w:val="none"/>
        </w:rPr>
      </w:pPr>
      <w:r>
        <w:rPr>
          <w:rFonts w:hint="eastAsia" w:ascii="宋体" w:hAnsi="宋体"/>
          <w:color w:val="auto"/>
          <w:highlight w:val="none"/>
        </w:rPr>
        <w:t>要求：全面充分地掌握整个施工场地的地质面貌和场地条件，以及基坑支护的实际施工状况，提前预估基础施工期间基坑可能存在的安全问题，做好相应的安全管理专项方案，从而合理安排组织施工。</w:t>
      </w:r>
    </w:p>
    <w:p>
      <w:pPr>
        <w:pStyle w:val="2"/>
        <w:rPr>
          <w:color w:val="auto"/>
          <w:highlight w:val="none"/>
        </w:rPr>
      </w:pPr>
    </w:p>
    <w:p>
      <w:pPr>
        <w:numPr>
          <w:ilvl w:val="1"/>
          <w:numId w:val="23"/>
        </w:numPr>
        <w:spacing w:line="360" w:lineRule="auto"/>
        <w:ind w:hanging="630"/>
        <w:rPr>
          <w:rFonts w:ascii="宋体" w:hAnsi="宋体"/>
          <w:b/>
          <w:bCs/>
          <w:color w:val="auto"/>
          <w:kern w:val="0"/>
          <w:szCs w:val="21"/>
          <w:highlight w:val="none"/>
        </w:rPr>
      </w:pPr>
      <w:r>
        <w:rPr>
          <w:rFonts w:ascii="宋体" w:hAnsi="宋体"/>
          <w:b/>
          <w:bCs/>
          <w:color w:val="auto"/>
          <w:kern w:val="0"/>
          <w:szCs w:val="21"/>
          <w:highlight w:val="none"/>
        </w:rPr>
        <w:t>机电工程施工组织设计</w:t>
      </w:r>
    </w:p>
    <w:p>
      <w:pPr>
        <w:spacing w:line="360" w:lineRule="auto"/>
        <w:ind w:firstLine="525" w:firstLineChars="250"/>
        <w:rPr>
          <w:rFonts w:ascii="宋体" w:hAnsi="宋体"/>
          <w:color w:val="auto"/>
          <w:kern w:val="0"/>
          <w:szCs w:val="21"/>
          <w:highlight w:val="none"/>
        </w:rPr>
      </w:pPr>
      <w:r>
        <w:rPr>
          <w:rFonts w:hint="eastAsia" w:ascii="宋体" w:hAnsi="宋体"/>
          <w:color w:val="auto"/>
          <w:kern w:val="0"/>
          <w:szCs w:val="21"/>
          <w:highlight w:val="none"/>
        </w:rPr>
        <w:t>根据发包人</w:t>
      </w:r>
      <w:r>
        <w:rPr>
          <w:rFonts w:ascii="宋体" w:hAnsi="宋体"/>
          <w:color w:val="auto"/>
          <w:kern w:val="0"/>
          <w:szCs w:val="21"/>
          <w:highlight w:val="none"/>
        </w:rPr>
        <w:t>设计要求编制机电工程施工组织设计及</w:t>
      </w:r>
      <w:r>
        <w:rPr>
          <w:rFonts w:hint="eastAsia" w:ascii="宋体" w:hAnsi="宋体"/>
          <w:color w:val="auto"/>
          <w:kern w:val="0"/>
          <w:szCs w:val="21"/>
          <w:highlight w:val="none"/>
        </w:rPr>
        <w:t>各</w:t>
      </w:r>
      <w:r>
        <w:rPr>
          <w:rFonts w:ascii="宋体" w:hAnsi="宋体"/>
          <w:color w:val="auto"/>
          <w:kern w:val="0"/>
          <w:szCs w:val="21"/>
          <w:highlight w:val="none"/>
        </w:rPr>
        <w:t>分部分项工程施工专项方案。</w:t>
      </w:r>
    </w:p>
    <w:p>
      <w:pPr>
        <w:numPr>
          <w:ilvl w:val="1"/>
          <w:numId w:val="23"/>
        </w:numPr>
        <w:spacing w:line="360" w:lineRule="auto"/>
        <w:ind w:hanging="630"/>
        <w:rPr>
          <w:rFonts w:ascii="宋体" w:hAnsi="宋体"/>
          <w:b/>
          <w:bCs/>
          <w:color w:val="auto"/>
          <w:kern w:val="0"/>
          <w:szCs w:val="21"/>
          <w:highlight w:val="none"/>
        </w:rPr>
      </w:pPr>
      <w:r>
        <w:rPr>
          <w:rFonts w:hint="eastAsia" w:ascii="宋体" w:hAnsi="宋体"/>
          <w:b/>
          <w:bCs/>
          <w:color w:val="auto"/>
          <w:kern w:val="0"/>
          <w:szCs w:val="21"/>
          <w:highlight w:val="none"/>
        </w:rPr>
        <w:t>管线</w:t>
      </w:r>
      <w:r>
        <w:rPr>
          <w:rFonts w:ascii="宋体" w:hAnsi="宋体"/>
          <w:b/>
          <w:bCs/>
          <w:color w:val="auto"/>
          <w:kern w:val="0"/>
          <w:szCs w:val="21"/>
          <w:highlight w:val="none"/>
        </w:rPr>
        <w:t>平衡</w:t>
      </w:r>
      <w:r>
        <w:rPr>
          <w:rFonts w:hint="eastAsia" w:ascii="宋体" w:hAnsi="宋体"/>
          <w:b/>
          <w:bCs/>
          <w:color w:val="auto"/>
          <w:kern w:val="0"/>
          <w:szCs w:val="21"/>
          <w:highlight w:val="none"/>
        </w:rPr>
        <w:t>专项</w:t>
      </w:r>
      <w:r>
        <w:rPr>
          <w:rFonts w:ascii="宋体" w:hAnsi="宋体"/>
          <w:b/>
          <w:bCs/>
          <w:color w:val="auto"/>
          <w:kern w:val="0"/>
          <w:szCs w:val="21"/>
          <w:highlight w:val="none"/>
        </w:rPr>
        <w:t>方案</w:t>
      </w:r>
    </w:p>
    <w:p>
      <w:pPr>
        <w:spacing w:line="360" w:lineRule="auto"/>
        <w:ind w:firstLine="525" w:firstLineChars="250"/>
        <w:rPr>
          <w:rFonts w:ascii="宋体" w:hAnsi="宋体"/>
          <w:color w:val="auto"/>
          <w:kern w:val="0"/>
          <w:szCs w:val="21"/>
          <w:highlight w:val="none"/>
        </w:rPr>
      </w:pPr>
      <w:r>
        <w:rPr>
          <w:rFonts w:hint="eastAsia" w:ascii="宋体" w:hAnsi="宋体"/>
          <w:color w:val="auto"/>
          <w:highlight w:val="none"/>
        </w:rPr>
        <w:t>包括地下室管线平衡及室外管线平衡专项方案（统筹煤气、外电、外水、园建、消防等专业单位管线平衡）</w:t>
      </w:r>
      <w:r>
        <w:rPr>
          <w:rFonts w:hint="eastAsia" w:ascii="宋体" w:hAnsi="宋体"/>
          <w:color w:val="auto"/>
          <w:kern w:val="0"/>
          <w:szCs w:val="21"/>
          <w:highlight w:val="none"/>
        </w:rPr>
        <w:t>。</w:t>
      </w:r>
    </w:p>
    <w:p>
      <w:pPr>
        <w:numPr>
          <w:ilvl w:val="1"/>
          <w:numId w:val="23"/>
        </w:numPr>
        <w:spacing w:line="360" w:lineRule="auto"/>
        <w:ind w:hanging="630"/>
        <w:rPr>
          <w:rFonts w:ascii="宋体" w:hAnsi="宋体"/>
          <w:b/>
          <w:bCs/>
          <w:color w:val="auto"/>
          <w:kern w:val="0"/>
          <w:szCs w:val="21"/>
          <w:highlight w:val="none"/>
        </w:rPr>
      </w:pPr>
      <w:r>
        <w:rPr>
          <w:rFonts w:hint="eastAsia" w:ascii="宋体" w:hAnsi="宋体"/>
          <w:b/>
          <w:bCs/>
          <w:color w:val="auto"/>
          <w:kern w:val="0"/>
          <w:szCs w:val="21"/>
          <w:highlight w:val="none"/>
        </w:rPr>
        <w:t>铝合金模板施工方案</w:t>
      </w:r>
    </w:p>
    <w:p>
      <w:pPr>
        <w:spacing w:line="360" w:lineRule="auto"/>
        <w:ind w:left="216" w:leftChars="103"/>
        <w:rPr>
          <w:rFonts w:ascii="宋体" w:hAnsi="宋体"/>
          <w:color w:val="auto"/>
          <w:highlight w:val="none"/>
        </w:rPr>
      </w:pPr>
      <w:r>
        <w:rPr>
          <w:rFonts w:hint="eastAsia" w:ascii="宋体" w:hAnsi="宋体"/>
          <w:color w:val="auto"/>
          <w:highlight w:val="none"/>
        </w:rPr>
        <w:t>1.1、</w:t>
      </w:r>
      <w:r>
        <w:rPr>
          <w:rFonts w:ascii="宋体" w:hAnsi="宋体"/>
          <w:color w:val="auto"/>
          <w:highlight w:val="none"/>
        </w:rPr>
        <w:t>相关的标准、规范</w:t>
      </w:r>
    </w:p>
    <w:tbl>
      <w:tblPr>
        <w:tblStyle w:val="62"/>
        <w:tblW w:w="8286" w:type="dxa"/>
        <w:tblInd w:w="93" w:type="dxa"/>
        <w:tblLayout w:type="fixed"/>
        <w:tblCellMar>
          <w:top w:w="0" w:type="dxa"/>
          <w:left w:w="0" w:type="dxa"/>
          <w:bottom w:w="0" w:type="dxa"/>
          <w:right w:w="0" w:type="dxa"/>
        </w:tblCellMar>
      </w:tblPr>
      <w:tblGrid>
        <w:gridCol w:w="1036"/>
        <w:gridCol w:w="4938"/>
        <w:gridCol w:w="2312"/>
      </w:tblGrid>
      <w:tr>
        <w:tblPrEx>
          <w:tblCellMar>
            <w:top w:w="0" w:type="dxa"/>
            <w:left w:w="0" w:type="dxa"/>
            <w:bottom w:w="0" w:type="dxa"/>
            <w:right w:w="0" w:type="dxa"/>
          </w:tblCellMar>
        </w:tblPrEx>
        <w:trPr>
          <w:trHeight w:val="37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工程测量规范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GB50026-2007</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《混凝土结构设计规范》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 50010-2010</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《建筑结构荷载规范》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 50009-2012</w:t>
            </w:r>
          </w:p>
        </w:tc>
      </w:tr>
      <w:tr>
        <w:tblPrEx>
          <w:tblCellMar>
            <w:top w:w="0" w:type="dxa"/>
            <w:left w:w="0" w:type="dxa"/>
            <w:bottom w:w="0" w:type="dxa"/>
            <w:right w:w="0" w:type="dxa"/>
          </w:tblCellMar>
        </w:tblPrEx>
        <w:trPr>
          <w:trHeight w:val="403"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混凝土结构工程施工质量验收规范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GB50204-2011</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建筑工程施工质量验收统一标准</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GB50300-2013</w:t>
            </w:r>
          </w:p>
        </w:tc>
      </w:tr>
      <w:tr>
        <w:tblPrEx>
          <w:tblCellMar>
            <w:top w:w="0" w:type="dxa"/>
            <w:left w:w="0" w:type="dxa"/>
            <w:bottom w:w="0" w:type="dxa"/>
            <w:right w:w="0" w:type="dxa"/>
          </w:tblCellMar>
        </w:tblPrEx>
        <w:trPr>
          <w:trHeight w:val="691"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混凝土结构工程施工质量验收规范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GB50204-2011</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混凝土结构工程施工规范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GB50666-2011</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国家</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铝合金结构设计规范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GB50429-2007</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行业</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高层建筑混凝土结构技术规程</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JGJ3-2010</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行业</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建筑施工高处作业安全技术规范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JGJ80-91</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行业</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混凝土泵送施工技术规程</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JGJ/T10-2011</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行业</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施工现场临时用电安全技术规范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JGJ46-2005</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行业</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建筑施工安全检查标准</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JGJ59-2011</w:t>
            </w:r>
          </w:p>
        </w:tc>
      </w:tr>
      <w:tr>
        <w:tblPrEx>
          <w:tblCellMar>
            <w:top w:w="0" w:type="dxa"/>
            <w:left w:w="0" w:type="dxa"/>
            <w:bottom w:w="0" w:type="dxa"/>
            <w:right w:w="0" w:type="dxa"/>
          </w:tblCellMar>
        </w:tblPrEx>
        <w:trPr>
          <w:trHeight w:val="396"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行业</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建筑施工铝模安全技术规范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JGJ162-2008</w:t>
            </w:r>
          </w:p>
        </w:tc>
      </w:tr>
      <w:tr>
        <w:tblPrEx>
          <w:tblCellMar>
            <w:top w:w="0" w:type="dxa"/>
            <w:left w:w="0" w:type="dxa"/>
            <w:bottom w:w="0" w:type="dxa"/>
            <w:right w:w="0" w:type="dxa"/>
          </w:tblCellMar>
        </w:tblPrEx>
        <w:trPr>
          <w:trHeight w:val="691" w:hRule="atLeast"/>
        </w:trPr>
        <w:tc>
          <w:tcPr>
            <w:tcW w:w="1036" w:type="dxa"/>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地方</w:t>
            </w:r>
          </w:p>
        </w:tc>
        <w:tc>
          <w:tcPr>
            <w:tcW w:w="4938"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铝合金铝模技术规范</w:t>
            </w:r>
          </w:p>
        </w:tc>
        <w:tc>
          <w:tcPr>
            <w:tcW w:w="2312" w:type="dxa"/>
            <w:tcBorders>
              <w:top w:val="single" w:color="000000" w:sz="8" w:space="0"/>
              <w:left w:val="nil"/>
              <w:bottom w:val="single" w:color="000000" w:sz="8" w:space="0"/>
              <w:right w:val="single" w:color="000000" w:sz="8" w:space="0"/>
            </w:tcBorders>
            <w:tcMar>
              <w:top w:w="15" w:type="dxa"/>
              <w:left w:w="15" w:type="dxa"/>
              <w:bottom w:w="0" w:type="dxa"/>
              <w:right w:w="15" w:type="dxa"/>
            </w:tcMar>
            <w:vAlign w:val="center"/>
          </w:tcPr>
          <w:p>
            <w:pPr>
              <w:spacing w:line="480" w:lineRule="exact"/>
              <w:rPr>
                <w:rFonts w:ascii="宋体" w:hAnsi="宋体"/>
                <w:color w:val="auto"/>
                <w:highlight w:val="none"/>
              </w:rPr>
            </w:pPr>
            <w:r>
              <w:rPr>
                <w:rFonts w:hint="eastAsia" w:ascii="宋体" w:hAnsi="宋体"/>
                <w:color w:val="auto"/>
                <w:highlight w:val="none"/>
              </w:rPr>
              <w:t>DBJ15-96-2013（广东）</w:t>
            </w:r>
          </w:p>
        </w:tc>
      </w:tr>
    </w:tbl>
    <w:p>
      <w:pPr>
        <w:pStyle w:val="2"/>
        <w:rPr>
          <w:rFonts w:ascii="宋体" w:hAnsi="宋体"/>
          <w:color w:val="auto"/>
          <w:highlight w:val="none"/>
        </w:rPr>
      </w:pPr>
    </w:p>
    <w:p>
      <w:pPr>
        <w:spacing w:line="480" w:lineRule="exact"/>
        <w:rPr>
          <w:rFonts w:ascii="宋体" w:hAnsi="宋体"/>
          <w:color w:val="auto"/>
          <w:highlight w:val="none"/>
        </w:rPr>
      </w:pPr>
      <w:r>
        <w:rPr>
          <w:rFonts w:hint="eastAsia" w:ascii="宋体" w:hAnsi="宋体"/>
          <w:color w:val="auto"/>
          <w:highlight w:val="none"/>
        </w:rPr>
        <w:t>1.2</w:t>
      </w:r>
      <w:r>
        <w:rPr>
          <w:rFonts w:ascii="宋体" w:hAnsi="宋体"/>
          <w:color w:val="auto"/>
          <w:highlight w:val="none"/>
        </w:rPr>
        <w:t>铝合金模板的安装过程及控制要点</w:t>
      </w:r>
    </w:p>
    <w:p>
      <w:pPr>
        <w:spacing w:line="480" w:lineRule="exact"/>
        <w:rPr>
          <w:rFonts w:ascii="宋体" w:hAnsi="宋体"/>
          <w:bCs/>
          <w:color w:val="auto"/>
          <w:highlight w:val="none"/>
        </w:rPr>
      </w:pPr>
      <w:r>
        <w:rPr>
          <w:rFonts w:ascii="宋体" w:hAnsi="宋体"/>
          <w:color w:val="auto"/>
          <w:szCs w:val="21"/>
          <w:highlight w:val="none"/>
        </w:rPr>
        <w:t>1.2.1</w:t>
      </w:r>
      <w:r>
        <w:rPr>
          <w:rFonts w:ascii="宋体" w:hAnsi="宋体"/>
          <w:bCs/>
          <w:color w:val="auto"/>
          <w:highlight w:val="none"/>
        </w:rPr>
        <w:t>安装工艺及控制流程图</w:t>
      </w:r>
    </w:p>
    <w:p>
      <w:pPr>
        <w:spacing w:line="480" w:lineRule="exact"/>
        <w:rPr>
          <w:rFonts w:ascii="宋体" w:hAnsi="宋体"/>
          <w:color w:val="auto"/>
          <w:highlight w:val="none"/>
        </w:rPr>
      </w:pPr>
      <w:r>
        <w:rPr>
          <w:rFonts w:ascii="宋体" w:hAnsi="宋体"/>
          <w:color w:val="auto"/>
          <w:highlight w:val="none"/>
        </w:rPr>
        <w:t>1)、安装工艺：测量放线→墙柱钢筋绑扎→预留预埋→隐蔽工程验收→墙柱铝合金模板安装→梁板铝合金模板安装→铝合金模板校正加固→梁板钢筋绑扎→预留预埋→隐蔽工程验收→混凝土浇筑并养护→铝合金模板拆除→铝合金模板倒运。</w:t>
      </w:r>
    </w:p>
    <w:p>
      <w:pPr>
        <w:spacing w:line="480" w:lineRule="exact"/>
        <w:rPr>
          <w:rFonts w:ascii="宋体" w:hAnsi="宋体"/>
          <w:color w:val="auto"/>
          <w:highlight w:val="none"/>
        </w:rPr>
      </w:pPr>
      <w:r>
        <w:rPr>
          <w:rFonts w:ascii="宋体" w:hAnsi="宋体"/>
          <w:color w:val="auto"/>
          <w:highlight w:val="none"/>
        </w:rPr>
        <w:t>2）、过程控制流程</w:t>
      </w: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pStyle w:val="2"/>
        <w:rPr>
          <w:rFonts w:ascii="宋体" w:hAnsi="宋体"/>
          <w:color w:val="auto"/>
          <w:highlight w:val="none"/>
        </w:rPr>
      </w:pPr>
    </w:p>
    <w:p>
      <w:pPr>
        <w:rPr>
          <w:rFonts w:ascii="宋体" w:hAnsi="宋体"/>
          <w:color w:val="auto"/>
          <w:highlight w:val="none"/>
        </w:rPr>
      </w:pPr>
      <w:r>
        <w:rPr>
          <w:rFonts w:ascii="宋体" w:hAnsi="宋体"/>
          <w:color w:val="auto"/>
          <w:highlight w:val="none"/>
        </w:rPr>
        <w:drawing>
          <wp:anchor distT="0" distB="0" distL="114300" distR="114300" simplePos="0" relativeHeight="251675648" behindDoc="0" locked="0" layoutInCell="1" allowOverlap="1">
            <wp:simplePos x="0" y="0"/>
            <wp:positionH relativeFrom="margin">
              <wp:posOffset>123825</wp:posOffset>
            </wp:positionH>
            <wp:positionV relativeFrom="margin">
              <wp:posOffset>4765675</wp:posOffset>
            </wp:positionV>
            <wp:extent cx="6079490" cy="3498215"/>
            <wp:effectExtent l="0" t="0" r="16510" b="6985"/>
            <wp:wrapSquare wrapText="bothSides"/>
            <wp:docPr id="1" name="图片 19" descr="C:\Users\ADMINI~1.SC-\AppData\Local\Temp\ksohtml\wpsD1D2.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C:\Users\ADMINI~1.SC-\AppData\Local\Temp\ksohtml\wpsD1D2.tmp.jpg"/>
                    <pic:cNvPicPr>
                      <a:picLocks noChangeAspect="1"/>
                    </pic:cNvPicPr>
                  </pic:nvPicPr>
                  <pic:blipFill>
                    <a:blip r:embed="rId17"/>
                    <a:stretch>
                      <a:fillRect/>
                    </a:stretch>
                  </pic:blipFill>
                  <pic:spPr>
                    <a:xfrm>
                      <a:off x="0" y="0"/>
                      <a:ext cx="6079490" cy="3498215"/>
                    </a:xfrm>
                    <a:prstGeom prst="rect">
                      <a:avLst/>
                    </a:prstGeom>
                    <a:noFill/>
                    <a:ln>
                      <a:noFill/>
                    </a:ln>
                  </pic:spPr>
                </pic:pic>
              </a:graphicData>
            </a:graphic>
          </wp:anchor>
        </w:drawing>
      </w:r>
      <w:r>
        <w:rPr>
          <w:rFonts w:ascii="宋体" w:hAnsi="宋体"/>
          <w:color w:val="auto"/>
          <w:highlight w:val="none"/>
        </w:rPr>
        <w:t>1.2.2施工准备阶段控制重点</w:t>
      </w:r>
    </w:p>
    <w:p>
      <w:pPr>
        <w:spacing w:line="480" w:lineRule="exact"/>
        <w:rPr>
          <w:rFonts w:ascii="宋体" w:hAnsi="宋体"/>
          <w:color w:val="auto"/>
          <w:highlight w:val="none"/>
        </w:rPr>
      </w:pPr>
      <w:r>
        <w:rPr>
          <w:rFonts w:ascii="宋体" w:hAnsi="宋体"/>
          <w:color w:val="auto"/>
          <w:highlight w:val="none"/>
        </w:rPr>
        <w:t>1）、审核模板工程的施工方案</w:t>
      </w:r>
    </w:p>
    <w:p>
      <w:pPr>
        <w:spacing w:line="480" w:lineRule="exact"/>
        <w:rPr>
          <w:rFonts w:ascii="宋体" w:hAnsi="宋体"/>
          <w:color w:val="auto"/>
          <w:highlight w:val="none"/>
        </w:rPr>
      </w:pPr>
      <w:r>
        <w:rPr>
          <w:rFonts w:ascii="宋体" w:hAnsi="宋体"/>
          <w:color w:val="auto"/>
          <w:highlight w:val="none"/>
        </w:rPr>
        <w:t>根据主体工程的结构形式、荷载大小、施工设备、地基土类别、合同工期及模板的周转情况等，综合考虑承包单位所选择的模板和支撑系统是否合理，提出审核意见。审核的重点是：</w:t>
      </w:r>
    </w:p>
    <w:p>
      <w:pPr>
        <w:spacing w:line="480" w:lineRule="exact"/>
        <w:rPr>
          <w:rFonts w:ascii="宋体" w:hAnsi="宋体"/>
          <w:color w:val="auto"/>
          <w:highlight w:val="none"/>
        </w:rPr>
      </w:pPr>
      <w:r>
        <w:rPr>
          <w:rFonts w:ascii="宋体" w:hAnsi="宋体"/>
          <w:color w:val="auto"/>
          <w:highlight w:val="none"/>
        </w:rPr>
        <w:t>（1）、能否保证工程结构和构件各部分形状尺寸和相关位置的正确，对结构节点及异型部位模板设计是否合理(是否采用专用模板)；</w:t>
      </w:r>
    </w:p>
    <w:p>
      <w:pPr>
        <w:spacing w:line="480" w:lineRule="exact"/>
        <w:rPr>
          <w:rFonts w:ascii="宋体" w:hAnsi="宋体"/>
          <w:color w:val="auto"/>
          <w:highlight w:val="none"/>
        </w:rPr>
      </w:pPr>
      <w:r>
        <w:rPr>
          <w:rFonts w:ascii="宋体" w:hAnsi="宋体"/>
          <w:color w:val="auto"/>
          <w:highlight w:val="none"/>
        </w:rPr>
        <w:t>（2）、是否具有足够的承载能力、刚度和稳定性，能否可靠地承受新浇混凝土的自重和侧压力，以及在施工过程中所产生的荷载；</w:t>
      </w:r>
    </w:p>
    <w:p>
      <w:pPr>
        <w:spacing w:line="480" w:lineRule="exact"/>
        <w:rPr>
          <w:rFonts w:ascii="宋体" w:hAnsi="宋体"/>
          <w:color w:val="auto"/>
          <w:highlight w:val="none"/>
        </w:rPr>
      </w:pPr>
      <w:r>
        <w:rPr>
          <w:rFonts w:ascii="宋体" w:hAnsi="宋体"/>
          <w:color w:val="auto"/>
          <w:highlight w:val="none"/>
        </w:rPr>
        <w:t>（3）、模板接缝处理方案能否保证不漏浆；</w:t>
      </w:r>
    </w:p>
    <w:p>
      <w:pPr>
        <w:spacing w:line="480" w:lineRule="exact"/>
        <w:rPr>
          <w:rFonts w:ascii="宋体" w:hAnsi="宋体"/>
          <w:color w:val="auto"/>
          <w:highlight w:val="none"/>
        </w:rPr>
      </w:pPr>
      <w:r>
        <w:rPr>
          <w:rFonts w:ascii="宋体" w:hAnsi="宋体"/>
          <w:color w:val="auto"/>
          <w:highlight w:val="none"/>
        </w:rPr>
        <w:t>（4）、模板及支架系统构造是否简单、装拆方便，并便于钢筋的绑扎、安装、清理和混凝土的浇筑、养护.</w:t>
      </w:r>
    </w:p>
    <w:p>
      <w:pPr>
        <w:spacing w:line="480" w:lineRule="exact"/>
        <w:rPr>
          <w:rFonts w:ascii="宋体" w:hAnsi="宋体"/>
          <w:color w:val="auto"/>
          <w:highlight w:val="none"/>
        </w:rPr>
      </w:pPr>
      <w:r>
        <w:rPr>
          <w:rFonts w:ascii="宋体" w:hAnsi="宋体"/>
          <w:color w:val="auto"/>
          <w:highlight w:val="none"/>
        </w:rPr>
        <w:t>2）、对进场模板规格、质量进行检查</w:t>
      </w:r>
    </w:p>
    <w:p>
      <w:pPr>
        <w:spacing w:line="480" w:lineRule="exact"/>
        <w:rPr>
          <w:rFonts w:ascii="宋体" w:hAnsi="宋体"/>
          <w:color w:val="auto"/>
          <w:highlight w:val="none"/>
        </w:rPr>
      </w:pPr>
      <w:r>
        <w:rPr>
          <w:rFonts w:ascii="宋体" w:hAnsi="宋体"/>
          <w:color w:val="auto"/>
          <w:highlight w:val="none"/>
        </w:rPr>
        <w:t>应对模板质量(包括重复使用条件下的模板)，外型尺寸、平整度、板面的洁净程度以及相应的附件(角膜、连接附件)，以及支撑系统都应进行检查，并确定是否可用于工程，提出修整意见。重要部位应要求承包单位按要求预拼装。</w:t>
      </w:r>
    </w:p>
    <w:p>
      <w:pPr>
        <w:spacing w:line="480" w:lineRule="exact"/>
        <w:rPr>
          <w:rFonts w:ascii="宋体" w:hAnsi="宋体"/>
          <w:color w:val="auto"/>
          <w:highlight w:val="none"/>
        </w:rPr>
      </w:pPr>
      <w:r>
        <w:rPr>
          <w:rFonts w:ascii="宋体" w:hAnsi="宋体"/>
          <w:color w:val="auto"/>
          <w:highlight w:val="none"/>
        </w:rPr>
        <w:t xml:space="preserve"> 对承包单位采用的模板螺栓应在加工前提出预控意见，确保加工质量，确保模板连接后的牢固。</w:t>
      </w:r>
    </w:p>
    <w:p>
      <w:pPr>
        <w:spacing w:line="480" w:lineRule="exact"/>
        <w:rPr>
          <w:rFonts w:ascii="宋体" w:hAnsi="宋体"/>
          <w:color w:val="auto"/>
          <w:highlight w:val="none"/>
        </w:rPr>
      </w:pPr>
      <w:r>
        <w:rPr>
          <w:rFonts w:ascii="宋体" w:hAnsi="宋体"/>
          <w:color w:val="auto"/>
          <w:highlight w:val="none"/>
        </w:rPr>
        <w:t>3）、督促施工单位对参加模板工程施工的人员，必须进行技术培训和安全教育，使其了解本工程模板施工特点、熟悉规范的有关条文和本岗位的安全技术操作规程，并通过考核合格后方能上岗工作</w:t>
      </w:r>
    </w:p>
    <w:p>
      <w:pPr>
        <w:spacing w:line="480" w:lineRule="exact"/>
        <w:rPr>
          <w:rFonts w:ascii="宋体" w:hAnsi="宋体"/>
          <w:color w:val="auto"/>
          <w:highlight w:val="none"/>
        </w:rPr>
      </w:pPr>
      <w:r>
        <w:rPr>
          <w:rFonts w:ascii="宋体" w:hAnsi="宋体"/>
          <w:color w:val="auto"/>
          <w:highlight w:val="none"/>
        </w:rPr>
        <w:t>4）、脱</w:t>
      </w:r>
      <w:r>
        <w:rPr>
          <w:rFonts w:hint="eastAsia" w:ascii="宋体" w:hAnsi="宋体"/>
          <w:color w:val="auto"/>
          <w:highlight w:val="none"/>
        </w:rPr>
        <w:t>模</w:t>
      </w:r>
      <w:r>
        <w:rPr>
          <w:rFonts w:ascii="宋体" w:hAnsi="宋体"/>
          <w:color w:val="auto"/>
          <w:highlight w:val="none"/>
        </w:rPr>
        <w:t>剂的选用</w:t>
      </w:r>
    </w:p>
    <w:p>
      <w:pPr>
        <w:spacing w:line="480" w:lineRule="exact"/>
        <w:rPr>
          <w:rFonts w:ascii="宋体" w:hAnsi="宋体"/>
          <w:color w:val="auto"/>
          <w:highlight w:val="none"/>
        </w:rPr>
      </w:pPr>
      <w:r>
        <w:rPr>
          <w:rFonts w:ascii="宋体" w:hAnsi="宋体"/>
          <w:color w:val="auto"/>
          <w:highlight w:val="none"/>
        </w:rPr>
        <w:t>选用质地优良和价格适宜的隔离剂是提高混凝土结构、构件表面质量和降低模板工程费用的重要措施。各种隔离剂都有一定的应用范围和应用条件。在审批时应注意：</w:t>
      </w:r>
    </w:p>
    <w:p>
      <w:pPr>
        <w:spacing w:line="480" w:lineRule="exact"/>
        <w:rPr>
          <w:rFonts w:ascii="宋体" w:hAnsi="宋体"/>
          <w:color w:val="auto"/>
          <w:highlight w:val="none"/>
        </w:rPr>
      </w:pPr>
      <w:r>
        <w:rPr>
          <w:rFonts w:ascii="宋体" w:hAnsi="宋体"/>
          <w:color w:val="auto"/>
          <w:highlight w:val="none"/>
        </w:rPr>
        <w:t>（1）</w:t>
      </w:r>
      <w:r>
        <w:rPr>
          <w:rFonts w:ascii="宋体" w:hAnsi="宋体"/>
          <w:color w:val="auto"/>
          <w:highlight w:val="none"/>
        </w:rPr>
        <w:t>、注意脱模剂对模板的适用性（1-3层选用植物油脱模剂，后期优选水性脱模剂）。如脱模剂用于金属模板时，应具有防锈、阻锈性能；</w:t>
      </w:r>
    </w:p>
    <w:p>
      <w:pPr>
        <w:spacing w:line="480" w:lineRule="exact"/>
        <w:rPr>
          <w:rFonts w:ascii="宋体" w:hAnsi="宋体"/>
          <w:color w:val="auto"/>
          <w:highlight w:val="none"/>
        </w:rPr>
      </w:pPr>
      <w:r>
        <w:rPr>
          <w:rFonts w:ascii="宋体" w:hAnsi="宋体"/>
          <w:color w:val="auto"/>
          <w:highlight w:val="none"/>
        </w:rPr>
        <w:t>（2）、要考虑混凝土结构构件的最终饰面要求。如构件的最终饰面是油漆、刷浆或抹灰，应选用不影响混凝土表面粘结的脱模剂；</w:t>
      </w:r>
    </w:p>
    <w:p>
      <w:pPr>
        <w:spacing w:line="480" w:lineRule="exact"/>
        <w:rPr>
          <w:rFonts w:ascii="宋体" w:hAnsi="宋体"/>
          <w:color w:val="auto"/>
          <w:highlight w:val="none"/>
        </w:rPr>
      </w:pPr>
      <w:r>
        <w:rPr>
          <w:rFonts w:ascii="宋体" w:hAnsi="宋体"/>
          <w:color w:val="auto"/>
          <w:highlight w:val="none"/>
        </w:rPr>
        <w:t>（3）、要注意施工时的气温和环境条件。在冬期施工时，要选用冻结点低于最低气温的脱模剂；在雨季施工时，要选用耐雨水冲刷的脱模剂；</w:t>
      </w:r>
    </w:p>
    <w:p>
      <w:pPr>
        <w:spacing w:line="480" w:lineRule="exact"/>
        <w:rPr>
          <w:rFonts w:ascii="宋体" w:hAnsi="宋体"/>
          <w:color w:val="auto"/>
          <w:highlight w:val="none"/>
        </w:rPr>
      </w:pPr>
      <w:r>
        <w:rPr>
          <w:rFonts w:ascii="宋体" w:hAnsi="宋体"/>
          <w:color w:val="auto"/>
          <w:highlight w:val="none"/>
        </w:rPr>
        <w:t>（4）、应注意施工工艺的适应性。脱模剂的脱模效果与拆模时间有关，当脱模剂与混凝土接触面之间粘结力大于混凝土的内聚力时，往往发生表层混凝土被局部粘掉的现象，因此具体拆模时间，应通过试验确定。</w:t>
      </w:r>
    </w:p>
    <w:p>
      <w:pPr>
        <w:spacing w:line="480" w:lineRule="exact"/>
        <w:rPr>
          <w:rFonts w:ascii="宋体" w:hAnsi="宋体"/>
          <w:color w:val="auto"/>
          <w:highlight w:val="none"/>
        </w:rPr>
      </w:pPr>
      <w:r>
        <w:rPr>
          <w:rFonts w:ascii="宋体" w:hAnsi="宋体"/>
          <w:color w:val="auto"/>
          <w:highlight w:val="none"/>
        </w:rPr>
        <w:t>5）铝模生产制作完成在工厂进行试拼装，由业主/设计院/监理到厂内预验收，模板成品按下表进行出厂前的检验：</w:t>
      </w:r>
    </w:p>
    <w:p>
      <w:pPr>
        <w:spacing w:line="480" w:lineRule="exact"/>
        <w:rPr>
          <w:rFonts w:ascii="宋体" w:hAnsi="宋体"/>
          <w:color w:val="auto"/>
          <w:highlight w:val="none"/>
        </w:rPr>
      </w:pPr>
    </w:p>
    <w:tbl>
      <w:tblPr>
        <w:tblStyle w:val="62"/>
        <w:tblW w:w="8286" w:type="dxa"/>
        <w:tblInd w:w="0" w:type="dxa"/>
        <w:tblLayout w:type="fixed"/>
        <w:tblCellMar>
          <w:top w:w="0" w:type="dxa"/>
          <w:left w:w="0" w:type="dxa"/>
          <w:bottom w:w="0" w:type="dxa"/>
          <w:right w:w="0" w:type="dxa"/>
        </w:tblCellMar>
      </w:tblPr>
      <w:tblGrid>
        <w:gridCol w:w="1367"/>
        <w:gridCol w:w="2587"/>
        <w:gridCol w:w="1977"/>
        <w:gridCol w:w="2355"/>
      </w:tblGrid>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序号</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项目名称</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允许偏差</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检验方法</w:t>
            </w:r>
          </w:p>
        </w:tc>
      </w:tr>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1</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铝模板高度</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±3mm</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用钢卷尺</w:t>
            </w:r>
          </w:p>
        </w:tc>
      </w:tr>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2</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铝模板长度</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-2mm</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用钢卷尺</w:t>
            </w:r>
          </w:p>
        </w:tc>
      </w:tr>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3</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铝模板板面对角线差</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≤3mm</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用钢卷尺</w:t>
            </w:r>
          </w:p>
        </w:tc>
      </w:tr>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4</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面板平整度</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2mm</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用2m测尺和塞尺</w:t>
            </w:r>
          </w:p>
        </w:tc>
      </w:tr>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5</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相邻面板拼缝高低差</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≤0.5mm</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用2m测尺和塞尺</w:t>
            </w:r>
          </w:p>
        </w:tc>
      </w:tr>
      <w:tr>
        <w:tblPrEx>
          <w:tblCellMar>
            <w:top w:w="0" w:type="dxa"/>
            <w:left w:w="0" w:type="dxa"/>
            <w:bottom w:w="0" w:type="dxa"/>
            <w:right w:w="0" w:type="dxa"/>
          </w:tblCellMar>
        </w:tblPrEx>
        <w:trPr>
          <w:trHeight w:val="457" w:hRule="atLeast"/>
        </w:trPr>
        <w:tc>
          <w:tcPr>
            <w:tcW w:w="136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6</w:t>
            </w:r>
          </w:p>
        </w:tc>
        <w:tc>
          <w:tcPr>
            <w:tcW w:w="258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相邻面板拼缝间隙</w:t>
            </w:r>
          </w:p>
        </w:tc>
        <w:tc>
          <w:tcPr>
            <w:tcW w:w="197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≤0.8mm</w:t>
            </w:r>
          </w:p>
        </w:tc>
        <w:tc>
          <w:tcPr>
            <w:tcW w:w="235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spacing w:line="480" w:lineRule="exact"/>
              <w:rPr>
                <w:rFonts w:ascii="宋体" w:hAnsi="宋体"/>
                <w:color w:val="auto"/>
                <w:highlight w:val="none"/>
              </w:rPr>
            </w:pPr>
            <w:r>
              <w:rPr>
                <w:rFonts w:ascii="宋体" w:hAnsi="宋体"/>
                <w:color w:val="auto"/>
                <w:highlight w:val="none"/>
              </w:rPr>
              <w:t>直角尺和塞尺</w:t>
            </w:r>
          </w:p>
        </w:tc>
      </w:tr>
    </w:tbl>
    <w:p>
      <w:pPr>
        <w:spacing w:line="480" w:lineRule="exact"/>
        <w:rPr>
          <w:rFonts w:ascii="宋体" w:hAnsi="宋体"/>
          <w:color w:val="auto"/>
          <w:highlight w:val="none"/>
        </w:rPr>
      </w:pPr>
      <w:r>
        <w:rPr>
          <w:rFonts w:ascii="宋体" w:hAnsi="宋体"/>
          <w:color w:val="auto"/>
          <w:highlight w:val="none"/>
        </w:rPr>
        <w:t>1.2.3施工阶段（安装验收阶段）监理控制重点</w:t>
      </w:r>
    </w:p>
    <w:p>
      <w:pPr>
        <w:spacing w:line="480" w:lineRule="exact"/>
        <w:rPr>
          <w:rFonts w:ascii="宋体" w:hAnsi="宋体"/>
          <w:color w:val="auto"/>
          <w:highlight w:val="none"/>
        </w:rPr>
      </w:pPr>
      <w:r>
        <w:rPr>
          <w:rFonts w:ascii="宋体" w:hAnsi="宋体"/>
          <w:color w:val="auto"/>
          <w:highlight w:val="none"/>
        </w:rPr>
        <w:t>1）、所有预埋件及预留孔洞，在安装前应与图纸对照，确认无误后准确固定在设计位置上，必要时可用电焊或套框等方法将其固定。对小型洞孔，套框内可满填软质材料，防止漏浆封闭。（允许偏差见下页附表）</w:t>
      </w:r>
    </w:p>
    <w:p>
      <w:pPr>
        <w:spacing w:line="480" w:lineRule="exact"/>
        <w:rPr>
          <w:rFonts w:ascii="宋体" w:hAnsi="宋体"/>
          <w:color w:val="auto"/>
          <w:highlight w:val="none"/>
        </w:rPr>
      </w:pPr>
      <w:r>
        <w:rPr>
          <w:rFonts w:ascii="宋体" w:hAnsi="宋体"/>
          <w:color w:val="auto"/>
          <w:highlight w:val="none"/>
        </w:rPr>
        <w:t xml:space="preserve">2）、施工中的轴线、标高、几何尺寸必须测放正确，标注清楚，引用方便，标注线和记号必须显示在稳固不变的物体上。放样弹线时，除按图纸弹划出工程结构外轮廓线外，还应弹出模板安装线或检查线。 </w:t>
      </w:r>
    </w:p>
    <w:p>
      <w:pPr>
        <w:spacing w:line="480" w:lineRule="exact"/>
        <w:rPr>
          <w:rFonts w:ascii="宋体" w:hAnsi="宋体"/>
          <w:color w:val="auto"/>
          <w:highlight w:val="none"/>
        </w:rPr>
      </w:pPr>
      <w:r>
        <w:rPr>
          <w:rFonts w:ascii="宋体" w:hAnsi="宋体"/>
          <w:color w:val="auto"/>
          <w:highlight w:val="none"/>
        </w:rPr>
        <w:t>3）、为防止胀模、跑模、错位、造成结构断面尺寸超差、位置偏离、漏浆造成蜂窝麻面，模板支撑应符合模板设计要求：</w:t>
      </w:r>
    </w:p>
    <w:p>
      <w:pPr>
        <w:spacing w:line="480" w:lineRule="exact"/>
        <w:rPr>
          <w:rFonts w:ascii="宋体" w:hAnsi="宋体"/>
          <w:color w:val="auto"/>
          <w:highlight w:val="none"/>
        </w:rPr>
      </w:pPr>
      <w:r>
        <w:rPr>
          <w:rFonts w:ascii="宋体" w:hAnsi="宋体"/>
          <w:color w:val="auto"/>
          <w:highlight w:val="none"/>
        </w:rPr>
        <w:t>（1）、柱模应有斜撑或拉杆，柱模拉杆每边宜设两根，固定在事先埋入楼板内的钢筋环上。用花篮螺栓调节校正模板垂直度。拉杆与地面夹角宜为45度，预埋钢筋环与柱距离宜为3／4柱高；</w:t>
      </w:r>
    </w:p>
    <w:p>
      <w:pPr>
        <w:spacing w:line="480" w:lineRule="exact"/>
        <w:rPr>
          <w:rFonts w:ascii="宋体" w:hAnsi="宋体"/>
          <w:color w:val="auto"/>
          <w:highlight w:val="none"/>
        </w:rPr>
      </w:pPr>
      <w:r>
        <w:rPr>
          <w:rFonts w:ascii="宋体" w:hAnsi="宋体"/>
          <w:color w:val="auto"/>
          <w:highlight w:val="none"/>
        </w:rPr>
        <w:t>（2）、剪力墙模板穿墙螺栓规格和间距应符合铝合金模板设计。一般穿墙螺栓应用12以上的钢筋制作，间距一般不大于60cm；</w:t>
      </w:r>
    </w:p>
    <w:p>
      <w:pPr>
        <w:spacing w:line="480" w:lineRule="exact"/>
        <w:rPr>
          <w:rFonts w:ascii="宋体" w:hAnsi="宋体"/>
          <w:color w:val="auto"/>
          <w:highlight w:val="none"/>
        </w:rPr>
      </w:pPr>
      <w:r>
        <w:rPr>
          <w:rFonts w:ascii="宋体" w:hAnsi="宋体"/>
          <w:color w:val="auto"/>
          <w:highlight w:val="none"/>
        </w:rPr>
        <w:t>（3）、梁模板的销子一定按照施工验收规范要求进行施工，不得有漏销或是跳销的情况出现；</w:t>
      </w:r>
    </w:p>
    <w:p>
      <w:pPr>
        <w:spacing w:line="480" w:lineRule="exact"/>
        <w:rPr>
          <w:rFonts w:ascii="宋体" w:hAnsi="宋体"/>
          <w:color w:val="auto"/>
          <w:highlight w:val="none"/>
        </w:rPr>
      </w:pPr>
      <w:r>
        <w:rPr>
          <w:rFonts w:ascii="宋体" w:hAnsi="宋体"/>
          <w:color w:val="auto"/>
          <w:highlight w:val="none"/>
        </w:rPr>
        <w:t xml:space="preserve">（4）、楼板模板支持杆的间距为120cm，且底部必须采用固定措施； </w:t>
      </w:r>
    </w:p>
    <w:p>
      <w:pPr>
        <w:spacing w:line="480" w:lineRule="exact"/>
        <w:rPr>
          <w:rFonts w:ascii="宋体" w:hAnsi="宋体"/>
          <w:color w:val="auto"/>
          <w:highlight w:val="none"/>
        </w:rPr>
      </w:pPr>
      <w:r>
        <w:rPr>
          <w:rFonts w:ascii="宋体" w:hAnsi="宋体"/>
          <w:color w:val="auto"/>
          <w:highlight w:val="none"/>
        </w:rPr>
        <w:t>（5）、采用铝模。</w:t>
      </w:r>
    </w:p>
    <w:p>
      <w:pPr>
        <w:spacing w:line="480" w:lineRule="exact"/>
        <w:rPr>
          <w:rFonts w:ascii="宋体" w:hAnsi="宋体"/>
          <w:color w:val="auto"/>
          <w:highlight w:val="none"/>
        </w:rPr>
      </w:pPr>
      <w:r>
        <w:rPr>
          <w:rFonts w:ascii="宋体" w:hAnsi="宋体"/>
          <w:color w:val="auto"/>
          <w:highlight w:val="none"/>
        </w:rPr>
        <w:t>4）</w:t>
      </w:r>
      <w:r>
        <w:rPr>
          <w:rFonts w:hint="eastAsia" w:ascii="宋体" w:hAnsi="宋体"/>
          <w:color w:val="auto"/>
          <w:highlight w:val="none"/>
        </w:rPr>
        <w:t>、</w:t>
      </w:r>
      <w:r>
        <w:rPr>
          <w:rFonts w:ascii="宋体" w:hAnsi="宋体"/>
          <w:color w:val="auto"/>
          <w:highlight w:val="none"/>
        </w:rPr>
        <w:t>模板涂刷隔离剂时首先应清除模板表面的尘土和混凝土残留物，再涂刷，涂刷应均匀，不得漏刷或沾污钢筋；</w:t>
      </w:r>
    </w:p>
    <w:p>
      <w:pPr>
        <w:spacing w:line="480" w:lineRule="exact"/>
        <w:rPr>
          <w:rFonts w:ascii="宋体" w:hAnsi="宋体"/>
          <w:color w:val="auto"/>
          <w:highlight w:val="none"/>
        </w:rPr>
      </w:pPr>
      <w:r>
        <w:rPr>
          <w:rFonts w:ascii="宋体" w:hAnsi="宋体"/>
          <w:color w:val="auto"/>
          <w:highlight w:val="none"/>
        </w:rPr>
        <w:t>5）、合模前钢筋隐检已合格，模内已清扫干净，应剔凿部位已剔凿合格；合模后核验模板位置、尺寸及钢筋位置，垫块位置与数量，符合要求才能浇筑混凝土；</w:t>
      </w:r>
    </w:p>
    <w:p>
      <w:pPr>
        <w:spacing w:line="480" w:lineRule="exact"/>
        <w:rPr>
          <w:rFonts w:ascii="宋体" w:hAnsi="宋体"/>
          <w:color w:val="auto"/>
          <w:highlight w:val="none"/>
        </w:rPr>
      </w:pPr>
      <w:r>
        <w:rPr>
          <w:rFonts w:ascii="宋体" w:hAnsi="宋体"/>
          <w:color w:val="auto"/>
          <w:highlight w:val="none"/>
        </w:rPr>
        <w:t>6）、对模板拼缝、节点位置模板支搭情况及加固情况，应认真检查，防止漏浆及缩颈现象；</w:t>
      </w:r>
    </w:p>
    <w:p>
      <w:pPr>
        <w:spacing w:line="480" w:lineRule="exact"/>
        <w:rPr>
          <w:rFonts w:ascii="宋体" w:hAnsi="宋体"/>
          <w:color w:val="auto"/>
          <w:highlight w:val="none"/>
        </w:rPr>
      </w:pPr>
      <w:r>
        <w:rPr>
          <w:rFonts w:ascii="宋体" w:hAnsi="宋体"/>
          <w:color w:val="auto"/>
          <w:highlight w:val="none"/>
        </w:rPr>
        <w:t>7）、浇筑前应注意检查：</w:t>
      </w:r>
    </w:p>
    <w:p>
      <w:pPr>
        <w:spacing w:line="480" w:lineRule="exact"/>
        <w:rPr>
          <w:rFonts w:ascii="宋体" w:hAnsi="宋体"/>
          <w:color w:val="auto"/>
          <w:highlight w:val="none"/>
        </w:rPr>
      </w:pPr>
      <w:r>
        <w:rPr>
          <w:rFonts w:ascii="宋体" w:hAnsi="宋体"/>
          <w:color w:val="auto"/>
          <w:highlight w:val="none"/>
        </w:rPr>
        <w:t>（1）、确保墙模按放样线安装；</w:t>
      </w:r>
    </w:p>
    <w:p>
      <w:pPr>
        <w:spacing w:line="480" w:lineRule="exact"/>
        <w:rPr>
          <w:rFonts w:ascii="宋体" w:hAnsi="宋体"/>
          <w:color w:val="auto"/>
          <w:highlight w:val="none"/>
        </w:rPr>
      </w:pPr>
      <w:r>
        <w:rPr>
          <w:rFonts w:ascii="宋体" w:hAnsi="宋体"/>
          <w:color w:val="auto"/>
          <w:highlight w:val="none"/>
        </w:rPr>
        <w:t>（2）、检查全部开口处尺寸是否正确并无扭曲变形；</w:t>
      </w:r>
    </w:p>
    <w:p>
      <w:pPr>
        <w:spacing w:line="480" w:lineRule="exact"/>
        <w:rPr>
          <w:rFonts w:ascii="宋体" w:hAnsi="宋体"/>
          <w:color w:val="auto"/>
          <w:highlight w:val="none"/>
        </w:rPr>
      </w:pPr>
      <w:r>
        <w:rPr>
          <w:rFonts w:ascii="宋体" w:hAnsi="宋体"/>
          <w:color w:val="auto"/>
          <w:highlight w:val="none"/>
        </w:rPr>
        <w:t>（3）、检查全部水平模（顶模和梁底模）是水平的；</w:t>
      </w:r>
    </w:p>
    <w:p>
      <w:pPr>
        <w:spacing w:line="480" w:lineRule="exact"/>
        <w:rPr>
          <w:rFonts w:ascii="宋体" w:hAnsi="宋体"/>
          <w:color w:val="auto"/>
          <w:highlight w:val="none"/>
        </w:rPr>
      </w:pPr>
      <w:r>
        <w:rPr>
          <w:rFonts w:ascii="宋体" w:hAnsi="宋体"/>
          <w:color w:val="auto"/>
          <w:highlight w:val="none"/>
        </w:rPr>
        <w:t>（4）、保证板底和梁底支撑杆是垂直的，并且支撑杆没有垂直方向上的松动；</w:t>
      </w:r>
    </w:p>
    <w:p>
      <w:pPr>
        <w:spacing w:line="480" w:lineRule="exact"/>
        <w:rPr>
          <w:rFonts w:ascii="宋体" w:hAnsi="宋体"/>
          <w:color w:val="auto"/>
          <w:highlight w:val="none"/>
        </w:rPr>
      </w:pPr>
      <w:r>
        <w:rPr>
          <w:rFonts w:ascii="宋体" w:hAnsi="宋体"/>
          <w:color w:val="auto"/>
          <w:highlight w:val="none"/>
        </w:rPr>
        <w:t>（5）、检查墙模和柱模的背楞和斜支撑是否正确；</w:t>
      </w:r>
    </w:p>
    <w:p>
      <w:pPr>
        <w:spacing w:line="480" w:lineRule="exact"/>
        <w:rPr>
          <w:rFonts w:ascii="宋体" w:hAnsi="宋体"/>
          <w:color w:val="auto"/>
          <w:highlight w:val="none"/>
        </w:rPr>
      </w:pPr>
      <w:r>
        <w:rPr>
          <w:rFonts w:ascii="宋体" w:hAnsi="宋体"/>
          <w:color w:val="auto"/>
          <w:highlight w:val="none"/>
        </w:rPr>
        <w:t>（6）、检查对拉螺丝、销子、楔子保持原位且牢固；</w:t>
      </w:r>
    </w:p>
    <w:p>
      <w:pPr>
        <w:spacing w:line="480" w:lineRule="exact"/>
        <w:rPr>
          <w:rFonts w:ascii="宋体" w:hAnsi="宋体"/>
          <w:color w:val="auto"/>
          <w:highlight w:val="none"/>
        </w:rPr>
      </w:pPr>
      <w:r>
        <w:rPr>
          <w:rFonts w:ascii="宋体" w:hAnsi="宋体"/>
          <w:color w:val="auto"/>
          <w:highlight w:val="none"/>
        </w:rPr>
        <w:t>（7）、确保悬挂工作平台支撑架可靠固定在混凝土结构上。</w:t>
      </w:r>
    </w:p>
    <w:p>
      <w:pPr>
        <w:spacing w:line="480" w:lineRule="exact"/>
        <w:rPr>
          <w:rFonts w:ascii="宋体" w:hAnsi="宋体"/>
          <w:color w:val="auto"/>
          <w:highlight w:val="none"/>
        </w:rPr>
      </w:pPr>
      <w:r>
        <w:rPr>
          <w:rFonts w:ascii="宋体" w:hAnsi="宋体"/>
          <w:color w:val="auto"/>
          <w:highlight w:val="none"/>
        </w:rPr>
        <w:t>1.2.4模板拆除阶段控制要点</w:t>
      </w:r>
    </w:p>
    <w:p>
      <w:pPr>
        <w:spacing w:line="480" w:lineRule="exact"/>
        <w:rPr>
          <w:rFonts w:ascii="宋体" w:hAnsi="宋体"/>
          <w:color w:val="auto"/>
          <w:highlight w:val="none"/>
        </w:rPr>
      </w:pPr>
      <w:r>
        <w:rPr>
          <w:rFonts w:ascii="宋体" w:hAnsi="宋体"/>
          <w:color w:val="auto"/>
          <w:highlight w:val="none"/>
        </w:rPr>
        <w:t>一般均应达到设计强度等级的75％以上(混凝土强度应以同条件养护的试块抗压强度为准，一般也可参照混凝土强度增长率推算表估算)；结构跨度大于8m的梁、板、拱壳和大于2m的悬臂构件应达到100％。</w:t>
      </w:r>
    </w:p>
    <w:p>
      <w:pPr>
        <w:numPr>
          <w:ilvl w:val="1"/>
          <w:numId w:val="23"/>
        </w:numPr>
        <w:spacing w:line="480" w:lineRule="exact"/>
        <w:ind w:hanging="630"/>
        <w:rPr>
          <w:rFonts w:ascii="宋体" w:hAnsi="宋体"/>
          <w:b/>
          <w:bCs/>
          <w:color w:val="auto"/>
          <w:kern w:val="0"/>
          <w:szCs w:val="21"/>
          <w:highlight w:val="none"/>
        </w:rPr>
      </w:pPr>
      <w:r>
        <w:rPr>
          <w:rFonts w:hint="eastAsia" w:ascii="宋体" w:hAnsi="宋体"/>
          <w:b/>
          <w:bCs/>
          <w:color w:val="auto"/>
          <w:kern w:val="0"/>
          <w:szCs w:val="21"/>
          <w:highlight w:val="none"/>
        </w:rPr>
        <w:t>对发电机安装和环保处理工程的专项方案</w:t>
      </w:r>
    </w:p>
    <w:p>
      <w:pPr>
        <w:pStyle w:val="2"/>
        <w:spacing w:line="480" w:lineRule="exact"/>
        <w:ind w:firstLine="420" w:firstLineChars="200"/>
        <w:rPr>
          <w:rFonts w:ascii="宋体" w:hAnsi="宋体"/>
          <w:color w:val="auto"/>
          <w:sz w:val="21"/>
          <w:szCs w:val="20"/>
          <w:highlight w:val="none"/>
        </w:rPr>
      </w:pPr>
      <w:r>
        <w:rPr>
          <w:rFonts w:hint="eastAsia" w:ascii="宋体" w:hAnsi="宋体"/>
          <w:color w:val="auto"/>
          <w:sz w:val="21"/>
          <w:szCs w:val="20"/>
          <w:highlight w:val="none"/>
        </w:rPr>
        <w:t>要求包括以下内容：</w:t>
      </w:r>
      <w:r>
        <w:rPr>
          <w:rFonts w:ascii="宋体" w:hAnsi="宋体"/>
          <w:color w:val="auto"/>
          <w:sz w:val="21"/>
          <w:szCs w:val="20"/>
          <w:highlight w:val="none"/>
        </w:rPr>
        <w:t>1、在发电机安装和环保处理工程依据总体进度计划，确定施工搭接计划，设备到场需求计划，以及施工过程中的设备看守保护措施。对照施工图纸确定排风、送风、排烟管道内壁的密封具体要求，对施工质量进行过程监督检查，确保其满足密封要求。2、做好污水处理设备及管道安装，及时对穿管孔</w:t>
      </w:r>
      <w:r>
        <w:rPr>
          <w:rFonts w:hint="eastAsia" w:ascii="宋体" w:hAnsi="宋体"/>
          <w:color w:val="auto"/>
          <w:sz w:val="21"/>
          <w:szCs w:val="20"/>
          <w:highlight w:val="none"/>
        </w:rPr>
        <w:t>洞进行封堵，作好防水、抹面收口处理，对有腐蚀性污水，配合做好防腐处理</w:t>
      </w:r>
    </w:p>
    <w:p>
      <w:pPr>
        <w:pStyle w:val="2"/>
        <w:rPr>
          <w:rFonts w:ascii="宋体" w:hAnsi="宋体"/>
          <w:color w:val="auto"/>
          <w:highlight w:val="none"/>
        </w:rPr>
      </w:pPr>
    </w:p>
    <w:p>
      <w:pPr>
        <w:numPr>
          <w:ilvl w:val="1"/>
          <w:numId w:val="23"/>
        </w:numPr>
        <w:spacing w:line="360" w:lineRule="auto"/>
        <w:ind w:hanging="630"/>
        <w:rPr>
          <w:rFonts w:ascii="宋体" w:hAnsi="宋体"/>
          <w:b/>
          <w:color w:val="auto"/>
          <w:kern w:val="0"/>
          <w:szCs w:val="21"/>
          <w:highlight w:val="none"/>
        </w:rPr>
      </w:pPr>
      <w:r>
        <w:rPr>
          <w:rFonts w:ascii="宋体" w:hAnsi="宋体"/>
          <w:b/>
          <w:color w:val="auto"/>
          <w:kern w:val="0"/>
          <w:szCs w:val="21"/>
          <w:highlight w:val="none"/>
        </w:rPr>
        <w:t>测量放线专线方案</w:t>
      </w:r>
    </w:p>
    <w:p>
      <w:pPr>
        <w:pStyle w:val="714"/>
        <w:numPr>
          <w:ilvl w:val="0"/>
          <w:numId w:val="7"/>
        </w:numPr>
        <w:autoSpaceDE w:val="0"/>
        <w:autoSpaceDN w:val="0"/>
        <w:adjustRightInd w:val="0"/>
        <w:spacing w:line="360" w:lineRule="auto"/>
        <w:ind w:firstLineChars="0"/>
        <w:jc w:val="left"/>
        <w:outlineLvl w:val="1"/>
        <w:rPr>
          <w:rFonts w:ascii="宋体" w:hAnsi="宋体"/>
          <w:b/>
          <w:color w:val="auto"/>
          <w:szCs w:val="21"/>
          <w:highlight w:val="none"/>
        </w:rPr>
      </w:pPr>
      <w:r>
        <w:rPr>
          <w:rFonts w:hint="eastAsia" w:ascii="宋体" w:hAnsi="宋体"/>
          <w:b/>
          <w:color w:val="auto"/>
          <w:szCs w:val="21"/>
          <w:highlight w:val="none"/>
        </w:rPr>
        <w:t>人力资源要求：</w:t>
      </w:r>
    </w:p>
    <w:p>
      <w:pPr>
        <w:tabs>
          <w:tab w:val="left" w:pos="1620"/>
        </w:tabs>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w:t>
      </w:r>
      <w:r>
        <w:rPr>
          <w:rFonts w:ascii="宋体" w:hAnsi="宋体"/>
          <w:color w:val="auto"/>
          <w:szCs w:val="21"/>
          <w:highlight w:val="none"/>
        </w:rPr>
        <w:t>1）</w:t>
      </w:r>
      <w:r>
        <w:rPr>
          <w:rFonts w:hint="eastAsia" w:ascii="宋体" w:hAnsi="宋体"/>
          <w:color w:val="auto"/>
          <w:szCs w:val="21"/>
          <w:highlight w:val="none"/>
        </w:rPr>
        <w:t>详见第四章 承包人现场工程管理人员配置要求。</w:t>
      </w:r>
    </w:p>
    <w:p>
      <w:pPr>
        <w:tabs>
          <w:tab w:val="left" w:pos="1620"/>
        </w:tabs>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w:t>
      </w:r>
      <w:r>
        <w:rPr>
          <w:rFonts w:ascii="宋体" w:hAnsi="宋体"/>
          <w:color w:val="auto"/>
          <w:szCs w:val="21"/>
          <w:highlight w:val="none"/>
        </w:rPr>
        <w:t>2）要求</w:t>
      </w:r>
      <w:r>
        <w:rPr>
          <w:rFonts w:hint="eastAsia" w:ascii="宋体" w:hAnsi="宋体"/>
          <w:color w:val="auto"/>
          <w:szCs w:val="21"/>
          <w:highlight w:val="none"/>
        </w:rPr>
        <w:t>承包人</w:t>
      </w:r>
      <w:r>
        <w:rPr>
          <w:rFonts w:ascii="宋体" w:hAnsi="宋体"/>
          <w:color w:val="auto"/>
          <w:szCs w:val="21"/>
          <w:highlight w:val="none"/>
        </w:rPr>
        <w:t>上报现场各工种班组长及主要技术工人和特殊岗位人员的姓名、年龄、性别、身份证复印件、照片、上岗证、学历等有关资料，加盖项目部印章，以备核查。</w:t>
      </w:r>
    </w:p>
    <w:p>
      <w:pPr>
        <w:tabs>
          <w:tab w:val="left" w:pos="1890"/>
          <w:tab w:val="left" w:pos="2415"/>
        </w:tabs>
        <w:spacing w:line="360" w:lineRule="auto"/>
        <w:ind w:right="94" w:rightChars="45" w:firstLine="420" w:firstLineChars="200"/>
        <w:jc w:val="left"/>
        <w:rPr>
          <w:rFonts w:ascii="宋体" w:hAnsi="宋体"/>
          <w:color w:val="auto"/>
          <w:szCs w:val="21"/>
          <w:highlight w:val="none"/>
        </w:rPr>
      </w:pPr>
      <w:r>
        <w:rPr>
          <w:rFonts w:hint="eastAsia" w:ascii="宋体" w:hAnsi="宋体"/>
          <w:color w:val="auto"/>
          <w:szCs w:val="21"/>
          <w:highlight w:val="none"/>
        </w:rPr>
        <w:t>（</w:t>
      </w:r>
      <w:r>
        <w:rPr>
          <w:rFonts w:ascii="宋体" w:hAnsi="宋体"/>
          <w:color w:val="auto"/>
          <w:szCs w:val="21"/>
          <w:highlight w:val="none"/>
        </w:rPr>
        <w:t>3）</w:t>
      </w:r>
      <w:r>
        <w:rPr>
          <w:rFonts w:hint="eastAsia" w:ascii="宋体" w:hAnsi="宋体"/>
          <w:color w:val="auto"/>
          <w:szCs w:val="21"/>
          <w:highlight w:val="none"/>
        </w:rPr>
        <w:t>承包人</w:t>
      </w:r>
      <w:r>
        <w:rPr>
          <w:rFonts w:ascii="宋体" w:hAnsi="宋体"/>
          <w:color w:val="auto"/>
          <w:szCs w:val="21"/>
          <w:highlight w:val="none"/>
        </w:rPr>
        <w:t>在本项目部的全体管理人员从工程开工到竣工均须在职在岗，项目经理部人员以报交的施工组织设计中的人员为准。</w:t>
      </w:r>
    </w:p>
    <w:p>
      <w:pPr>
        <w:tabs>
          <w:tab w:val="left" w:pos="1620"/>
        </w:tabs>
        <w:spacing w:line="360" w:lineRule="auto"/>
        <w:ind w:firstLine="420" w:firstLineChars="200"/>
        <w:rPr>
          <w:rFonts w:ascii="宋体" w:hAnsi="宋体"/>
          <w:color w:val="auto"/>
          <w:szCs w:val="21"/>
          <w:highlight w:val="none"/>
          <w:u w:val="single"/>
        </w:rPr>
      </w:pPr>
      <w:r>
        <w:rPr>
          <w:rFonts w:hint="eastAsia" w:ascii="宋体" w:hAnsi="宋体"/>
          <w:bCs/>
          <w:color w:val="auto"/>
          <w:szCs w:val="21"/>
          <w:highlight w:val="none"/>
        </w:rPr>
        <w:t>（</w:t>
      </w:r>
      <w:r>
        <w:rPr>
          <w:rFonts w:ascii="宋体" w:hAnsi="宋体"/>
          <w:bCs/>
          <w:color w:val="auto"/>
          <w:szCs w:val="21"/>
          <w:highlight w:val="none"/>
        </w:rPr>
        <w:t>4）</w:t>
      </w:r>
      <w:r>
        <w:rPr>
          <w:rFonts w:hint="eastAsia" w:ascii="宋体" w:hAnsi="宋体"/>
          <w:bCs/>
          <w:color w:val="auto"/>
          <w:szCs w:val="21"/>
          <w:highlight w:val="none"/>
        </w:rPr>
        <w:t>承包人</w:t>
      </w:r>
      <w:r>
        <w:rPr>
          <w:rFonts w:ascii="宋体" w:hAnsi="宋体"/>
          <w:bCs/>
          <w:color w:val="auto"/>
          <w:szCs w:val="21"/>
          <w:highlight w:val="none"/>
        </w:rPr>
        <w:t>在施工过程中，凡需持证上岗操作的工人，被查实属无证上岗者，每一名扣除0.5万元，该名工人应立即离场。</w:t>
      </w:r>
    </w:p>
    <w:p>
      <w:pPr>
        <w:tabs>
          <w:tab w:val="left" w:pos="1620"/>
        </w:tabs>
        <w:spacing w:line="360" w:lineRule="auto"/>
        <w:ind w:firstLine="420" w:firstLineChars="200"/>
        <w:rPr>
          <w:rFonts w:ascii="宋体" w:hAnsi="宋体"/>
          <w:color w:val="auto"/>
          <w:szCs w:val="21"/>
          <w:highlight w:val="none"/>
          <w:u w:val="single"/>
        </w:rPr>
      </w:pPr>
      <w:r>
        <w:rPr>
          <w:rFonts w:hint="eastAsia" w:ascii="宋体" w:hAnsi="宋体"/>
          <w:bCs/>
          <w:color w:val="auto"/>
          <w:szCs w:val="21"/>
          <w:highlight w:val="none"/>
        </w:rPr>
        <w:t>（</w:t>
      </w:r>
      <w:r>
        <w:rPr>
          <w:rFonts w:ascii="宋体" w:hAnsi="宋体"/>
          <w:bCs/>
          <w:color w:val="auto"/>
          <w:szCs w:val="21"/>
          <w:highlight w:val="none"/>
        </w:rPr>
        <w:t>5）</w:t>
      </w:r>
      <w:r>
        <w:rPr>
          <w:rFonts w:hint="eastAsia" w:ascii="宋体" w:hAnsi="宋体"/>
          <w:color w:val="auto"/>
          <w:szCs w:val="21"/>
          <w:highlight w:val="none"/>
        </w:rPr>
        <w:t>承包人施工人员被发包人或监理单位要求撤换的界定：</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无证上岗者；</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无法胜任工作者；</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现场实际人员与报价时所报名册不符者，亦未按承包合同办理相关更换手续；</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不能积极配合发包人管理人员者和监理单位开展监理工作者；</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高空抛倒建筑垃圾者；</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随地大小便者；</w:t>
      </w:r>
    </w:p>
    <w:p>
      <w:pPr>
        <w:tabs>
          <w:tab w:val="left" w:pos="840"/>
        </w:tabs>
        <w:spacing w:line="360" w:lineRule="auto"/>
        <w:ind w:left="630" w:leftChars="300"/>
        <w:rPr>
          <w:rFonts w:ascii="宋体" w:hAnsi="宋体"/>
          <w:color w:val="auto"/>
          <w:szCs w:val="21"/>
          <w:highlight w:val="none"/>
        </w:rPr>
      </w:pPr>
      <w:r>
        <w:rPr>
          <w:rFonts w:hint="eastAsia" w:ascii="宋体" w:hAnsi="宋体"/>
          <w:color w:val="auto"/>
          <w:szCs w:val="21"/>
          <w:highlight w:val="none"/>
        </w:rPr>
        <w:t>某检验批经第二次验收仍不能满足设计或规范要求时，发包人有权对施工员、班组长实行撤换；</w:t>
      </w:r>
    </w:p>
    <w:p>
      <w:pPr>
        <w:tabs>
          <w:tab w:val="left" w:pos="1620"/>
        </w:tabs>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6）承包人管理人员数量及人员工作能力、经验、职业资格等均需满足项目施工要求，项目经理、总工、专职安全员等人员资质应满足施工许可证办理及当地安监要求，地保人员数量及资质应满足地保专项要求。承包人应配备专职实测实量人员，且人员数量应满足发包人质量管理及第三方质量评估需求。另外，本项目施工许可证会办理多个（具体数量详招标文件相关章节），承包人应根据项目施工许可证办理要求，提供满足办证要求所需的证件及人员。</w:t>
      </w:r>
    </w:p>
    <w:p>
      <w:pPr>
        <w:tabs>
          <w:tab w:val="left" w:pos="1890"/>
          <w:tab w:val="left" w:pos="2415"/>
        </w:tabs>
        <w:spacing w:line="360" w:lineRule="auto"/>
        <w:ind w:right="94" w:rightChars="45" w:firstLine="420" w:firstLineChars="200"/>
        <w:jc w:val="left"/>
        <w:rPr>
          <w:rFonts w:ascii="宋体" w:hAnsi="宋体"/>
          <w:color w:val="auto"/>
          <w:szCs w:val="21"/>
          <w:highlight w:val="none"/>
        </w:rPr>
      </w:pPr>
      <w:r>
        <w:rPr>
          <w:rFonts w:hint="eastAsia" w:ascii="宋体" w:hAnsi="宋体"/>
          <w:color w:val="auto"/>
          <w:szCs w:val="21"/>
          <w:highlight w:val="none"/>
        </w:rPr>
        <w:t>项目实施过程中，如承包人所配人员素质或人员数量不符合项目施工要求，发包人可以无条件要求承包人进行人员更换和补充，承包人应遵照执行，且人员更换和补充所涉及的一切费用均由承包人自行承担。</w:t>
      </w:r>
    </w:p>
    <w:p>
      <w:pPr>
        <w:tabs>
          <w:tab w:val="left" w:pos="1620"/>
        </w:tabs>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其他发包人认定应予撤换的情形。</w:t>
      </w:r>
    </w:p>
    <w:p>
      <w:pPr>
        <w:pStyle w:val="714"/>
        <w:numPr>
          <w:ilvl w:val="0"/>
          <w:numId w:val="7"/>
        </w:numPr>
        <w:autoSpaceDE w:val="0"/>
        <w:autoSpaceDN w:val="0"/>
        <w:adjustRightInd w:val="0"/>
        <w:spacing w:line="360" w:lineRule="auto"/>
        <w:ind w:firstLineChars="0"/>
        <w:jc w:val="left"/>
        <w:outlineLvl w:val="1"/>
        <w:rPr>
          <w:b/>
          <w:color w:val="auto"/>
          <w:szCs w:val="21"/>
          <w:highlight w:val="none"/>
        </w:rPr>
      </w:pPr>
      <w:r>
        <w:rPr>
          <w:rFonts w:hint="eastAsia"/>
          <w:b/>
          <w:color w:val="auto"/>
          <w:szCs w:val="21"/>
          <w:highlight w:val="none"/>
        </w:rPr>
        <w:t>施工现场指导性标准化管理要求</w:t>
      </w:r>
    </w:p>
    <w:p>
      <w:pPr>
        <w:spacing w:line="360" w:lineRule="auto"/>
        <w:rPr>
          <w:b/>
          <w:color w:val="auto"/>
          <w:szCs w:val="21"/>
          <w:highlight w:val="none"/>
        </w:rPr>
      </w:pPr>
      <w:r>
        <w:rPr>
          <w:b/>
          <w:color w:val="auto"/>
          <w:szCs w:val="21"/>
          <w:highlight w:val="none"/>
        </w:rPr>
        <w:t>1</w:t>
      </w:r>
      <w:r>
        <w:rPr>
          <w:rFonts w:hint="eastAsia"/>
          <w:b/>
          <w:color w:val="auto"/>
          <w:szCs w:val="21"/>
          <w:highlight w:val="none"/>
        </w:rPr>
        <w:t>临边防护标准化要求</w:t>
      </w:r>
    </w:p>
    <w:p>
      <w:pPr>
        <w:spacing w:line="360" w:lineRule="auto"/>
        <w:rPr>
          <w:color w:val="auto"/>
          <w:szCs w:val="21"/>
          <w:highlight w:val="none"/>
        </w:rPr>
      </w:pPr>
      <w:r>
        <w:rPr>
          <w:rFonts w:hint="eastAsia"/>
          <w:color w:val="auto"/>
          <w:szCs w:val="21"/>
          <w:highlight w:val="none"/>
        </w:rPr>
        <w:t>应用范围：</w:t>
      </w:r>
    </w:p>
    <w:p>
      <w:pPr>
        <w:spacing w:line="360" w:lineRule="auto"/>
        <w:rPr>
          <w:color w:val="auto"/>
          <w:szCs w:val="21"/>
          <w:highlight w:val="none"/>
        </w:rPr>
      </w:pPr>
      <w:r>
        <w:rPr>
          <w:rFonts w:hint="eastAsia"/>
          <w:color w:val="auto"/>
          <w:szCs w:val="21"/>
          <w:highlight w:val="none"/>
        </w:rPr>
        <w:t>为保证施工作业活动、行人安全，凡是施工作业平台、行人通道，无论是高于地面或低于地面，其所在的基坑周边、结构周边等必须设置防护栏杆。</w:t>
      </w:r>
    </w:p>
    <w:p>
      <w:pPr>
        <w:spacing w:line="360" w:lineRule="auto"/>
        <w:rPr>
          <w:color w:val="auto"/>
          <w:szCs w:val="21"/>
          <w:highlight w:val="none"/>
        </w:rPr>
      </w:pPr>
      <w:r>
        <w:rPr>
          <w:rFonts w:hint="eastAsia"/>
          <w:color w:val="auto"/>
          <w:szCs w:val="21"/>
          <w:highlight w:val="none"/>
        </w:rPr>
        <w:t>基本要求：</w:t>
      </w:r>
    </w:p>
    <w:p>
      <w:pPr>
        <w:spacing w:line="360" w:lineRule="auto"/>
        <w:rPr>
          <w:color w:val="auto"/>
          <w:szCs w:val="21"/>
          <w:highlight w:val="none"/>
        </w:rPr>
      </w:pPr>
      <w:r>
        <w:rPr>
          <w:color w:val="auto"/>
          <w:szCs w:val="21"/>
          <w:highlight w:val="none"/>
        </w:rPr>
        <w:t>1.1</w:t>
      </w:r>
      <w:r>
        <w:rPr>
          <w:rFonts w:hint="eastAsia"/>
          <w:color w:val="auto"/>
          <w:szCs w:val="21"/>
          <w:highlight w:val="none"/>
        </w:rPr>
        <w:t>、防护栏杆应由上下两道横杆及栏杆柱组成，上杆离地高度为</w:t>
      </w:r>
      <w:r>
        <w:rPr>
          <w:color w:val="auto"/>
          <w:szCs w:val="21"/>
          <w:highlight w:val="none"/>
        </w:rPr>
        <w:t>1.0~1.2m</w:t>
      </w:r>
      <w:r>
        <w:rPr>
          <w:rFonts w:hint="eastAsia"/>
          <w:color w:val="auto"/>
          <w:szCs w:val="21"/>
          <w:highlight w:val="none"/>
        </w:rPr>
        <w:t>，下杆离地高度</w:t>
      </w:r>
      <w:r>
        <w:rPr>
          <w:color w:val="auto"/>
          <w:szCs w:val="21"/>
          <w:highlight w:val="none"/>
        </w:rPr>
        <w:t>0.5~0.6m</w:t>
      </w:r>
      <w:r>
        <w:rPr>
          <w:rFonts w:hint="eastAsia"/>
          <w:color w:val="auto"/>
          <w:szCs w:val="21"/>
          <w:highlight w:val="none"/>
        </w:rPr>
        <w:t>。横杆长度</w:t>
      </w:r>
      <w:r>
        <w:rPr>
          <w:color w:val="auto"/>
          <w:szCs w:val="21"/>
          <w:highlight w:val="none"/>
        </w:rPr>
        <w:t>&gt;2m</w:t>
      </w:r>
      <w:r>
        <w:rPr>
          <w:rFonts w:hint="eastAsia"/>
          <w:color w:val="auto"/>
          <w:szCs w:val="21"/>
          <w:highlight w:val="none"/>
        </w:rPr>
        <w:t>时，必须加设栏杆柱。</w:t>
      </w:r>
    </w:p>
    <w:p>
      <w:pPr>
        <w:spacing w:line="360" w:lineRule="auto"/>
        <w:rPr>
          <w:color w:val="auto"/>
          <w:szCs w:val="21"/>
          <w:highlight w:val="none"/>
        </w:rPr>
      </w:pPr>
      <w:r>
        <w:rPr>
          <w:color w:val="auto"/>
          <w:szCs w:val="21"/>
          <w:highlight w:val="none"/>
        </w:rPr>
        <w:t>1.2</w:t>
      </w:r>
      <w:r>
        <w:rPr>
          <w:rFonts w:hint="eastAsia"/>
          <w:color w:val="auto"/>
          <w:szCs w:val="21"/>
          <w:highlight w:val="none"/>
        </w:rPr>
        <w:t>、栏杆柱固定及其与横杆连接，其整体构造应使防护栏杆在上杆任何处</w:t>
      </w:r>
      <w:r>
        <w:rPr>
          <w:color w:val="auto"/>
          <w:szCs w:val="21"/>
          <w:highlight w:val="none"/>
        </w:rPr>
        <w:t>,</w:t>
      </w:r>
      <w:r>
        <w:rPr>
          <w:rFonts w:hint="eastAsia"/>
          <w:color w:val="auto"/>
          <w:szCs w:val="21"/>
          <w:highlight w:val="none"/>
        </w:rPr>
        <w:t>能经受任何方向的</w:t>
      </w:r>
      <w:r>
        <w:rPr>
          <w:color w:val="auto"/>
          <w:szCs w:val="21"/>
          <w:highlight w:val="none"/>
        </w:rPr>
        <w:t>1000N</w:t>
      </w:r>
      <w:r>
        <w:rPr>
          <w:rFonts w:hint="eastAsia"/>
          <w:color w:val="auto"/>
          <w:szCs w:val="21"/>
          <w:highlight w:val="none"/>
        </w:rPr>
        <w:t>的外力。</w:t>
      </w:r>
    </w:p>
    <w:p>
      <w:pPr>
        <w:spacing w:line="360" w:lineRule="auto"/>
        <w:rPr>
          <w:color w:val="auto"/>
          <w:szCs w:val="21"/>
          <w:highlight w:val="none"/>
        </w:rPr>
      </w:pPr>
      <w:r>
        <w:rPr>
          <w:color w:val="auto"/>
          <w:szCs w:val="21"/>
          <w:highlight w:val="none"/>
        </w:rPr>
        <w:t>1.3</w:t>
      </w:r>
      <w:r>
        <w:rPr>
          <w:rFonts w:hint="eastAsia"/>
          <w:color w:val="auto"/>
          <w:szCs w:val="21"/>
          <w:highlight w:val="none"/>
        </w:rPr>
        <w:t>、防护栏杆必须设置自上而下的密目安全网封闭，或在栏杆下边设置严密固定的高度不低于</w:t>
      </w:r>
      <w:r>
        <w:rPr>
          <w:color w:val="auto"/>
          <w:szCs w:val="21"/>
          <w:highlight w:val="none"/>
        </w:rPr>
        <w:t>180mm</w:t>
      </w:r>
      <w:r>
        <w:rPr>
          <w:rFonts w:hint="eastAsia"/>
          <w:color w:val="auto"/>
          <w:szCs w:val="21"/>
          <w:highlight w:val="none"/>
        </w:rPr>
        <w:t>的挡脚板。</w:t>
      </w:r>
    </w:p>
    <w:p>
      <w:pPr>
        <w:spacing w:line="360" w:lineRule="auto"/>
        <w:rPr>
          <w:color w:val="auto"/>
          <w:szCs w:val="21"/>
          <w:highlight w:val="none"/>
        </w:rPr>
      </w:pPr>
      <w:r>
        <w:rPr>
          <w:color w:val="auto"/>
          <w:szCs w:val="21"/>
          <w:highlight w:val="none"/>
        </w:rPr>
        <w:t>1.4</w:t>
      </w:r>
      <w:r>
        <w:rPr>
          <w:rFonts w:hint="eastAsia"/>
          <w:color w:val="auto"/>
          <w:szCs w:val="21"/>
          <w:highlight w:val="none"/>
        </w:rPr>
        <w:t>、当临边外侧临街道时，除设置防护栏杆外，敞口立面必须采取满挂密目安全网作全封闭处理。</w:t>
      </w:r>
    </w:p>
    <w:p>
      <w:pPr>
        <w:spacing w:line="360" w:lineRule="auto"/>
        <w:rPr>
          <w:color w:val="auto"/>
          <w:szCs w:val="21"/>
          <w:highlight w:val="none"/>
        </w:rPr>
      </w:pPr>
      <w:r>
        <w:rPr>
          <w:rFonts w:hint="eastAsia"/>
          <w:color w:val="auto"/>
          <w:szCs w:val="21"/>
          <w:highlight w:val="none"/>
        </w:rPr>
        <w:t>栏杆柱固定方式：</w:t>
      </w:r>
    </w:p>
    <w:p>
      <w:pPr>
        <w:spacing w:line="360" w:lineRule="auto"/>
        <w:rPr>
          <w:color w:val="auto"/>
          <w:szCs w:val="21"/>
          <w:highlight w:val="none"/>
        </w:rPr>
      </w:pPr>
      <w:r>
        <w:rPr>
          <w:color w:val="auto"/>
          <w:szCs w:val="21"/>
          <w:highlight w:val="none"/>
        </w:rPr>
        <w:t xml:space="preserve">1.4.1 </w:t>
      </w:r>
      <w:r>
        <w:rPr>
          <w:rFonts w:hint="eastAsia"/>
          <w:color w:val="auto"/>
          <w:szCs w:val="21"/>
          <w:highlight w:val="none"/>
        </w:rPr>
        <w:t>、当在基坑四周固定时，可采用钢管打入地面</w:t>
      </w:r>
      <w:r>
        <w:rPr>
          <w:color w:val="auto"/>
          <w:szCs w:val="21"/>
          <w:highlight w:val="none"/>
        </w:rPr>
        <w:t>500</w:t>
      </w:r>
      <w:r>
        <w:rPr>
          <w:rFonts w:hint="eastAsia"/>
          <w:color w:val="auto"/>
          <w:szCs w:val="21"/>
          <w:highlight w:val="none"/>
        </w:rPr>
        <w:t>～</w:t>
      </w:r>
      <w:r>
        <w:rPr>
          <w:color w:val="auto"/>
          <w:szCs w:val="21"/>
          <w:highlight w:val="none"/>
        </w:rPr>
        <w:t>700mm</w:t>
      </w:r>
      <w:r>
        <w:rPr>
          <w:rFonts w:hint="eastAsia"/>
          <w:color w:val="auto"/>
          <w:szCs w:val="21"/>
          <w:highlight w:val="none"/>
        </w:rPr>
        <w:t>深，钢管离边口的距离不应小于</w:t>
      </w:r>
      <w:r>
        <w:rPr>
          <w:color w:val="auto"/>
          <w:szCs w:val="21"/>
          <w:highlight w:val="none"/>
        </w:rPr>
        <w:t>500mm</w:t>
      </w:r>
      <w:r>
        <w:rPr>
          <w:rFonts w:hint="eastAsia"/>
          <w:color w:val="auto"/>
          <w:szCs w:val="21"/>
          <w:highlight w:val="none"/>
        </w:rPr>
        <w:t>。</w:t>
      </w:r>
    </w:p>
    <w:p>
      <w:pPr>
        <w:spacing w:line="360" w:lineRule="auto"/>
        <w:rPr>
          <w:color w:val="auto"/>
          <w:szCs w:val="21"/>
          <w:highlight w:val="none"/>
        </w:rPr>
      </w:pPr>
      <w:r>
        <w:rPr>
          <w:color w:val="auto"/>
          <w:szCs w:val="21"/>
          <w:highlight w:val="none"/>
        </w:rPr>
        <w:t>1.4.2</w:t>
      </w:r>
      <w:r>
        <w:rPr>
          <w:rFonts w:hint="eastAsia"/>
          <w:color w:val="auto"/>
          <w:szCs w:val="21"/>
          <w:highlight w:val="none"/>
        </w:rPr>
        <w:t>、当在混凝土楼面、屋面或墙面固定时，可用预埋件与钢管或钢筋焊接固定，钢管离边口距离应为</w:t>
      </w:r>
      <w:r>
        <w:rPr>
          <w:color w:val="auto"/>
          <w:szCs w:val="21"/>
          <w:highlight w:val="none"/>
        </w:rPr>
        <w:t>200~300mm</w:t>
      </w:r>
      <w:r>
        <w:rPr>
          <w:rFonts w:hint="eastAsia"/>
          <w:color w:val="auto"/>
          <w:szCs w:val="21"/>
          <w:highlight w:val="none"/>
        </w:rPr>
        <w:t>。</w:t>
      </w:r>
    </w:p>
    <w:p>
      <w:pPr>
        <w:spacing w:line="360" w:lineRule="auto"/>
        <w:rPr>
          <w:color w:val="auto"/>
          <w:szCs w:val="21"/>
          <w:highlight w:val="none"/>
        </w:rPr>
      </w:pPr>
      <w:r>
        <w:rPr>
          <w:color w:val="auto"/>
          <w:szCs w:val="21"/>
          <w:highlight w:val="none"/>
        </w:rPr>
        <w:t>1.4.2</w:t>
      </w:r>
      <w:r>
        <w:rPr>
          <w:rFonts w:hint="eastAsia"/>
          <w:color w:val="auto"/>
          <w:szCs w:val="21"/>
          <w:highlight w:val="none"/>
        </w:rPr>
        <w:t>、当在砖或砌块等砌体上固定时，可预先砌入规格为</w:t>
      </w:r>
      <w:r>
        <w:rPr>
          <w:color w:val="auto"/>
          <w:szCs w:val="21"/>
          <w:highlight w:val="none"/>
        </w:rPr>
        <w:t>80</w:t>
      </w:r>
      <w:r>
        <w:rPr>
          <w:rFonts w:hint="eastAsia"/>
          <w:color w:val="auto"/>
          <w:szCs w:val="21"/>
          <w:highlight w:val="none"/>
        </w:rPr>
        <w:t>×</w:t>
      </w:r>
      <w:r>
        <w:rPr>
          <w:color w:val="auto"/>
          <w:szCs w:val="21"/>
          <w:highlight w:val="none"/>
        </w:rPr>
        <w:t>6mm</w:t>
      </w:r>
      <w:r>
        <w:rPr>
          <w:rFonts w:hint="eastAsia"/>
          <w:color w:val="auto"/>
          <w:szCs w:val="21"/>
          <w:highlight w:val="none"/>
        </w:rPr>
        <w:t>弯转扁钢作预埋的混凝土块，用上述方法固定。</w:t>
      </w:r>
    </w:p>
    <w:p>
      <w:pPr>
        <w:spacing w:line="360" w:lineRule="auto"/>
        <w:rPr>
          <w:color w:val="auto"/>
          <w:szCs w:val="21"/>
          <w:highlight w:val="none"/>
        </w:rPr>
      </w:pPr>
      <w:r>
        <w:rPr>
          <w:color w:val="auto"/>
          <w:szCs w:val="21"/>
          <w:highlight w:val="none"/>
        </w:rPr>
        <w:t>1.5</w:t>
      </w:r>
      <w:r>
        <w:rPr>
          <w:rFonts w:hint="eastAsia"/>
          <w:color w:val="auto"/>
          <w:szCs w:val="21"/>
          <w:highlight w:val="none"/>
        </w:rPr>
        <w:t>、基坑周边防护</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3657600" cy="2619375"/>
            <wp:effectExtent l="0" t="0" r="0" b="9525"/>
            <wp:docPr id="124" name="图片 25" descr="1基坑周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5" descr="1基坑周边"/>
                    <pic:cNvPicPr>
                      <a:picLocks noChangeAspect="1" noChangeArrowheads="1"/>
                    </pic:cNvPicPr>
                  </pic:nvPicPr>
                  <pic:blipFill>
                    <a:blip r:embed="rId18"/>
                    <a:srcRect l="30945" t="12093" r="20949" b="28252"/>
                    <a:stretch>
                      <a:fillRect/>
                    </a:stretch>
                  </pic:blipFill>
                  <pic:spPr>
                    <a:xfrm>
                      <a:off x="0" y="0"/>
                      <a:ext cx="3657600" cy="2619375"/>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指导性标准做法</w:t>
      </w:r>
    </w:p>
    <w:p>
      <w:pPr>
        <w:spacing w:line="360" w:lineRule="auto"/>
        <w:rPr>
          <w:rFonts w:ascii="仿宋" w:hAnsi="仿宋" w:eastAsia="仿宋"/>
          <w:color w:val="auto"/>
          <w:highlight w:val="none"/>
        </w:rPr>
      </w:pPr>
      <w:r>
        <w:rPr>
          <w:rFonts w:ascii="仿宋" w:hAnsi="仿宋" w:eastAsia="仿宋"/>
          <w:color w:val="auto"/>
          <w:highlight w:val="none"/>
        </w:rPr>
        <w:drawing>
          <wp:anchor distT="0" distB="0" distL="114300" distR="114300" simplePos="0" relativeHeight="251660288" behindDoc="0" locked="0" layoutInCell="1" allowOverlap="1">
            <wp:simplePos x="0" y="0"/>
            <wp:positionH relativeFrom="column">
              <wp:posOffset>94615</wp:posOffset>
            </wp:positionH>
            <wp:positionV relativeFrom="paragraph">
              <wp:posOffset>247015</wp:posOffset>
            </wp:positionV>
            <wp:extent cx="2555240" cy="1851025"/>
            <wp:effectExtent l="0" t="0" r="10160" b="3175"/>
            <wp:wrapTopAndBottom/>
            <wp:docPr id="125" name="图片 193" descr="QQ截图2013010408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93" descr="QQ截图20130104085856"/>
                    <pic:cNvPicPr>
                      <a:picLocks noChangeAspect="1" noChangeArrowheads="1"/>
                    </pic:cNvPicPr>
                  </pic:nvPicPr>
                  <pic:blipFill>
                    <a:blip r:embed="rId19"/>
                    <a:srcRect r="11034" b="3296"/>
                    <a:stretch>
                      <a:fillRect/>
                    </a:stretch>
                  </pic:blipFill>
                  <pic:spPr>
                    <a:xfrm>
                      <a:off x="0" y="0"/>
                      <a:ext cx="2555240" cy="1851025"/>
                    </a:xfrm>
                    <a:prstGeom prst="rect">
                      <a:avLst/>
                    </a:prstGeom>
                    <a:noFill/>
                    <a:ln w="9525">
                      <a:noFill/>
                      <a:miter lim="800000"/>
                      <a:headEnd/>
                      <a:tailEnd/>
                    </a:ln>
                  </pic:spPr>
                </pic:pic>
              </a:graphicData>
            </a:graphic>
          </wp:anchor>
        </w:drawing>
      </w:r>
    </w:p>
    <w:p>
      <w:pPr>
        <w:spacing w:line="360" w:lineRule="auto"/>
        <w:rPr>
          <w:rFonts w:ascii="仿宋" w:hAnsi="仿宋" w:eastAsia="仿宋"/>
          <w:color w:val="auto"/>
          <w:highlight w:val="none"/>
        </w:rPr>
      </w:pPr>
    </w:p>
    <w:p>
      <w:pPr>
        <w:spacing w:line="360" w:lineRule="auto"/>
        <w:rPr>
          <w:color w:val="auto"/>
          <w:szCs w:val="21"/>
          <w:highlight w:val="none"/>
        </w:rPr>
      </w:pPr>
      <w:r>
        <w:rPr>
          <w:color w:val="auto"/>
          <w:szCs w:val="21"/>
          <w:highlight w:val="none"/>
        </w:rPr>
        <w:t xml:space="preserve">1.2 </w:t>
      </w:r>
      <w:r>
        <w:rPr>
          <w:rFonts w:hint="eastAsia"/>
          <w:color w:val="auto"/>
          <w:szCs w:val="21"/>
          <w:highlight w:val="none"/>
        </w:rPr>
        <w:t>结构周边</w:t>
      </w:r>
    </w:p>
    <w:p>
      <w:pPr>
        <w:spacing w:line="360" w:lineRule="auto"/>
        <w:rPr>
          <w:color w:val="auto"/>
          <w:szCs w:val="21"/>
          <w:highlight w:val="none"/>
        </w:rPr>
      </w:pPr>
      <w:r>
        <w:rPr>
          <w:color w:val="auto"/>
          <w:szCs w:val="21"/>
          <w:highlight w:val="none"/>
        </w:rPr>
        <w:t>1.2.1</w:t>
      </w:r>
      <w:r>
        <w:rPr>
          <w:rFonts w:hint="eastAsia"/>
          <w:color w:val="auto"/>
          <w:szCs w:val="21"/>
          <w:highlight w:val="none"/>
        </w:rPr>
        <w:t>结构周边防护栏杆搭设立面图示</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3124200" cy="2400300"/>
            <wp:effectExtent l="0" t="0" r="0" b="0"/>
            <wp:docPr id="126" name="图片 24" descr="2结构防护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4" descr="2结构防护1"/>
                    <pic:cNvPicPr>
                      <a:picLocks noChangeAspect="1" noChangeArrowheads="1"/>
                    </pic:cNvPicPr>
                  </pic:nvPicPr>
                  <pic:blipFill>
                    <a:blip r:embed="rId20"/>
                    <a:srcRect l="28476" t="26485" r="41579" b="33658"/>
                    <a:stretch>
                      <a:fillRect/>
                    </a:stretch>
                  </pic:blipFill>
                  <pic:spPr>
                    <a:xfrm>
                      <a:off x="0" y="0"/>
                      <a:ext cx="3124200" cy="240030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color w:val="auto"/>
          <w:szCs w:val="21"/>
          <w:highlight w:val="none"/>
        </w:rPr>
        <w:t>1.6</w:t>
      </w:r>
      <w:r>
        <w:rPr>
          <w:rFonts w:hint="eastAsia"/>
          <w:color w:val="auto"/>
          <w:szCs w:val="21"/>
          <w:highlight w:val="none"/>
        </w:rPr>
        <w:t>、结构周边防护栏杆搭设平面图示</w:t>
      </w:r>
    </w:p>
    <w:p>
      <w:pPr>
        <w:spacing w:line="360" w:lineRule="auto"/>
        <w:rPr>
          <w:color w:val="auto"/>
          <w:szCs w:val="21"/>
          <w:highlight w:val="none"/>
        </w:rPr>
      </w:pPr>
      <w:r>
        <w:rPr>
          <w:rFonts w:hint="eastAsia"/>
          <w:color w:val="auto"/>
          <w:szCs w:val="21"/>
          <w:highlight w:val="none"/>
        </w:rPr>
        <w:t>根据结构特点不同，安全防护设施的平面布置也不同，具体分以下几种情况。</w:t>
      </w:r>
    </w:p>
    <w:p>
      <w:pPr>
        <w:spacing w:line="360" w:lineRule="auto"/>
        <w:rPr>
          <w:color w:val="auto"/>
          <w:szCs w:val="21"/>
          <w:highlight w:val="none"/>
        </w:rPr>
      </w:pPr>
      <w:r>
        <w:rPr>
          <w:rFonts w:hint="eastAsia"/>
          <w:color w:val="auto"/>
          <w:szCs w:val="21"/>
          <w:highlight w:val="none"/>
        </w:rPr>
        <w:t>无悬挑板结构周边防护</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2505075" cy="1819275"/>
            <wp:effectExtent l="0" t="0" r="9525" b="9525"/>
            <wp:docPr id="127" name="图片 23" descr="2结构防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3" descr="2结构防护"/>
                    <pic:cNvPicPr>
                      <a:picLocks noChangeAspect="1" noChangeArrowheads="1"/>
                    </pic:cNvPicPr>
                  </pic:nvPicPr>
                  <pic:blipFill>
                    <a:blip r:embed="rId21"/>
                    <a:srcRect l="20100" t="15239" r="16008" b="6047"/>
                    <a:stretch>
                      <a:fillRect/>
                    </a:stretch>
                  </pic:blipFill>
                  <pic:spPr>
                    <a:xfrm>
                      <a:off x="0" y="0"/>
                      <a:ext cx="2505075" cy="1819275"/>
                    </a:xfrm>
                    <a:prstGeom prst="rect">
                      <a:avLst/>
                    </a:prstGeom>
                    <a:noFill/>
                    <a:ln w="9525">
                      <a:noFill/>
                      <a:miter lim="800000"/>
                      <a:headEnd/>
                      <a:tailEnd/>
                    </a:ln>
                  </pic:spPr>
                </pic:pic>
              </a:graphicData>
            </a:graphic>
          </wp:inline>
        </w:drawing>
      </w:r>
    </w:p>
    <w:p>
      <w:pPr>
        <w:spacing w:line="360" w:lineRule="auto"/>
        <w:rPr>
          <w:color w:val="auto"/>
          <w:szCs w:val="21"/>
          <w:highlight w:val="none"/>
        </w:rPr>
      </w:pPr>
    </w:p>
    <w:p>
      <w:pPr>
        <w:spacing w:line="360" w:lineRule="auto"/>
        <w:rPr>
          <w:color w:val="auto"/>
          <w:szCs w:val="21"/>
          <w:highlight w:val="none"/>
        </w:rPr>
      </w:pPr>
      <w:r>
        <w:rPr>
          <w:rFonts w:hint="eastAsia"/>
          <w:color w:val="auto"/>
          <w:szCs w:val="21"/>
          <w:highlight w:val="none"/>
        </w:rPr>
        <w:t>悬挑板周边防护</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3209925" cy="2409825"/>
            <wp:effectExtent l="0" t="0" r="0" b="3175"/>
            <wp:docPr id="128" name="图片 22" descr="2结构防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2" descr="2结构防护"/>
                    <pic:cNvPicPr>
                      <a:picLocks noChangeAspect="1" noChangeArrowheads="1"/>
                    </pic:cNvPicPr>
                  </pic:nvPicPr>
                  <pic:blipFill>
                    <a:blip r:embed="rId22"/>
                    <a:srcRect l="14357" t="5261" r="14357" b="4353"/>
                    <a:stretch>
                      <a:fillRect/>
                    </a:stretch>
                  </pic:blipFill>
                  <pic:spPr>
                    <a:xfrm>
                      <a:off x="0" y="0"/>
                      <a:ext cx="3209925" cy="2409825"/>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指导性标准做法</w:t>
      </w:r>
    </w:p>
    <w:p>
      <w:pPr>
        <w:rPr>
          <w:rFonts w:ascii="仿宋" w:hAnsi="仿宋" w:eastAsia="仿宋"/>
          <w:color w:val="auto"/>
          <w:highlight w:val="none"/>
        </w:rPr>
      </w:pPr>
      <w:r>
        <w:rPr>
          <w:rFonts w:ascii="仿宋" w:hAnsi="仿宋" w:eastAsia="仿宋"/>
          <w:color w:val="auto"/>
          <w:highlight w:val="none"/>
        </w:rPr>
        <w:drawing>
          <wp:anchor distT="0" distB="0" distL="114300" distR="114300" simplePos="0" relativeHeight="251661312" behindDoc="0" locked="0" layoutInCell="1" allowOverlap="1">
            <wp:simplePos x="0" y="0"/>
            <wp:positionH relativeFrom="column">
              <wp:posOffset>-128270</wp:posOffset>
            </wp:positionH>
            <wp:positionV relativeFrom="paragraph">
              <wp:posOffset>55245</wp:posOffset>
            </wp:positionV>
            <wp:extent cx="3209290" cy="2247265"/>
            <wp:effectExtent l="0" t="0" r="3810" b="635"/>
            <wp:wrapSquare wrapText="bothSides"/>
            <wp:docPr id="129" name="图片 192" descr="QQ截图20130104085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92" descr="QQ截图20130104085844"/>
                    <pic:cNvPicPr>
                      <a:picLocks noChangeAspect="1" noChangeArrowheads="1"/>
                    </pic:cNvPicPr>
                  </pic:nvPicPr>
                  <pic:blipFill>
                    <a:blip r:embed="rId23"/>
                    <a:srcRect/>
                    <a:stretch>
                      <a:fillRect/>
                    </a:stretch>
                  </pic:blipFill>
                  <pic:spPr>
                    <a:xfrm>
                      <a:off x="0" y="0"/>
                      <a:ext cx="3209290" cy="2247265"/>
                    </a:xfrm>
                    <a:prstGeom prst="rect">
                      <a:avLst/>
                    </a:prstGeom>
                    <a:noFill/>
                    <a:ln w="9525">
                      <a:noFill/>
                      <a:miter lim="800000"/>
                      <a:headEnd/>
                      <a:tailEnd/>
                    </a:ln>
                  </pic:spPr>
                </pic:pic>
              </a:graphicData>
            </a:graphic>
          </wp:anchor>
        </w:drawing>
      </w:r>
    </w:p>
    <w:p>
      <w:pPr>
        <w:spacing w:line="480" w:lineRule="exact"/>
        <w:rPr>
          <w:color w:val="auto"/>
          <w:szCs w:val="21"/>
          <w:highlight w:val="none"/>
        </w:rPr>
      </w:pPr>
      <w:r>
        <w:rPr>
          <w:rFonts w:ascii="仿宋" w:hAnsi="仿宋" w:eastAsia="仿宋"/>
          <w:color w:val="auto"/>
          <w:highlight w:val="none"/>
        </w:rPr>
        <w:drawing>
          <wp:anchor distT="0" distB="0" distL="114300" distR="114300" simplePos="0" relativeHeight="251662336" behindDoc="0" locked="0" layoutInCell="1" allowOverlap="1">
            <wp:simplePos x="0" y="0"/>
            <wp:positionH relativeFrom="column">
              <wp:posOffset>11430</wp:posOffset>
            </wp:positionH>
            <wp:positionV relativeFrom="paragraph">
              <wp:posOffset>-169545</wp:posOffset>
            </wp:positionV>
            <wp:extent cx="2266950" cy="1819275"/>
            <wp:effectExtent l="0" t="0" r="6350" b="9525"/>
            <wp:wrapTopAndBottom/>
            <wp:docPr id="130" name="图片 21" descr="QQ截图20130104085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1" descr="QQ截图2013010408594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266950" cy="1819275"/>
                    </a:xfrm>
                    <a:prstGeom prst="rect">
                      <a:avLst/>
                    </a:prstGeom>
                    <a:noFill/>
                    <a:ln w="9525">
                      <a:noFill/>
                      <a:miter lim="800000"/>
                      <a:headEnd/>
                      <a:tailEnd/>
                    </a:ln>
                  </pic:spPr>
                </pic:pic>
              </a:graphicData>
            </a:graphic>
          </wp:anchor>
        </w:drawing>
      </w:r>
    </w:p>
    <w:p>
      <w:pPr>
        <w:spacing w:line="480" w:lineRule="exact"/>
        <w:rPr>
          <w:color w:val="auto"/>
          <w:szCs w:val="21"/>
          <w:highlight w:val="none"/>
        </w:rPr>
      </w:pPr>
      <w:r>
        <w:rPr>
          <w:color w:val="auto"/>
          <w:szCs w:val="21"/>
          <w:highlight w:val="none"/>
        </w:rPr>
        <w:t xml:space="preserve">1.3 </w:t>
      </w:r>
      <w:r>
        <w:rPr>
          <w:rFonts w:hint="eastAsia"/>
          <w:color w:val="auto"/>
          <w:szCs w:val="21"/>
          <w:highlight w:val="none"/>
        </w:rPr>
        <w:t>楼梯侧边</w:t>
      </w:r>
    </w:p>
    <w:p>
      <w:pPr>
        <w:spacing w:line="480" w:lineRule="exact"/>
        <w:rPr>
          <w:color w:val="auto"/>
          <w:szCs w:val="21"/>
          <w:highlight w:val="none"/>
        </w:rPr>
      </w:pPr>
      <w:r>
        <w:rPr>
          <w:rFonts w:hint="eastAsia"/>
          <w:color w:val="auto"/>
          <w:szCs w:val="21"/>
          <w:highlight w:val="none"/>
        </w:rPr>
        <w:t>常规的住宅楼、办公楼楼梯可采用钢管扣件搭设防护栏杆，在梯井两端设置通高立杆，然后搭设斜杆即可。</w:t>
      </w:r>
    </w:p>
    <w:p>
      <w:pPr>
        <w:rPr>
          <w:rFonts w:ascii="仿宋" w:hAnsi="仿宋" w:eastAsia="仿宋"/>
          <w:color w:val="auto"/>
          <w:highlight w:val="none"/>
        </w:rPr>
      </w:pPr>
      <w:r>
        <w:rPr>
          <w:rFonts w:ascii="仿宋" w:hAnsi="仿宋" w:eastAsia="仿宋"/>
          <w:color w:val="auto"/>
          <w:highlight w:val="none"/>
        </w:rPr>
        <w:drawing>
          <wp:inline distT="0" distB="0" distL="0" distR="0">
            <wp:extent cx="5410200" cy="3067050"/>
            <wp:effectExtent l="0" t="0" r="0" b="0"/>
            <wp:docPr id="131" name="图片 20" descr="4楼梯临边防护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0" descr="4楼梯临边防护图2"/>
                    <pic:cNvPicPr>
                      <a:picLocks noChangeAspect="1" noChangeArrowheads="1"/>
                    </pic:cNvPicPr>
                  </pic:nvPicPr>
                  <pic:blipFill>
                    <a:blip r:embed="rId25"/>
                    <a:srcRect l="23578" t="23312" r="23418" b="26553"/>
                    <a:stretch>
                      <a:fillRect/>
                    </a:stretch>
                  </pic:blipFill>
                  <pic:spPr>
                    <a:xfrm>
                      <a:off x="0" y="0"/>
                      <a:ext cx="5410200" cy="3067050"/>
                    </a:xfrm>
                    <a:prstGeom prst="rect">
                      <a:avLst/>
                    </a:prstGeom>
                    <a:noFill/>
                    <a:ln w="9525">
                      <a:noFill/>
                      <a:miter lim="800000"/>
                      <a:headEnd/>
                      <a:tailEnd/>
                    </a:ln>
                  </pic:spPr>
                </pic:pic>
              </a:graphicData>
            </a:graphic>
          </wp:inline>
        </w:drawing>
      </w:r>
    </w:p>
    <w:p>
      <w:pPr>
        <w:rPr>
          <w:color w:val="auto"/>
          <w:szCs w:val="21"/>
          <w:highlight w:val="none"/>
        </w:rPr>
      </w:pPr>
      <w:r>
        <w:rPr>
          <w:rFonts w:hint="eastAsia"/>
          <w:color w:val="auto"/>
          <w:szCs w:val="21"/>
          <w:highlight w:val="none"/>
        </w:rPr>
        <w:t>对于特殊的楼梯，如圆弧、单跑、梯井过大的，采用钢筋与预埋件焊接临时栏杆。</w:t>
      </w:r>
    </w:p>
    <w:p>
      <w:pPr>
        <w:rPr>
          <w:rFonts w:ascii="仿宋" w:hAnsi="仿宋" w:eastAsia="仿宋"/>
          <w:color w:val="auto"/>
          <w:highlight w:val="none"/>
        </w:rPr>
      </w:pPr>
      <w:r>
        <w:rPr>
          <w:rFonts w:ascii="仿宋" w:hAnsi="仿宋" w:eastAsia="仿宋"/>
          <w:color w:val="auto"/>
          <w:highlight w:val="none"/>
        </w:rPr>
        <w:drawing>
          <wp:inline distT="0" distB="0" distL="0" distR="0">
            <wp:extent cx="5114925" cy="2438400"/>
            <wp:effectExtent l="0" t="0" r="0" b="0"/>
            <wp:docPr id="132" name="图片 19" descr="4楼梯临边防护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9" descr="4楼梯临边防护图1"/>
                    <pic:cNvPicPr>
                      <a:picLocks noChangeAspect="1" noChangeArrowheads="1"/>
                    </pic:cNvPicPr>
                  </pic:nvPicPr>
                  <pic:blipFill>
                    <a:blip r:embed="rId26"/>
                    <a:srcRect l="21107" t="10622" r="10634" b="28899"/>
                    <a:stretch>
                      <a:fillRect/>
                    </a:stretch>
                  </pic:blipFill>
                  <pic:spPr>
                    <a:xfrm>
                      <a:off x="0" y="0"/>
                      <a:ext cx="5114925" cy="2438400"/>
                    </a:xfrm>
                    <a:prstGeom prst="rect">
                      <a:avLst/>
                    </a:prstGeom>
                    <a:noFill/>
                    <a:ln w="9525">
                      <a:noFill/>
                      <a:miter lim="800000"/>
                      <a:headEnd/>
                      <a:tailEnd/>
                    </a:ln>
                  </pic:spPr>
                </pic:pic>
              </a:graphicData>
            </a:graphic>
          </wp:inline>
        </w:drawing>
      </w:r>
    </w:p>
    <w:p>
      <w:pPr>
        <w:rPr>
          <w:color w:val="auto"/>
          <w:szCs w:val="21"/>
          <w:highlight w:val="none"/>
        </w:rPr>
      </w:pPr>
      <w:r>
        <w:rPr>
          <w:rFonts w:hint="eastAsia"/>
          <w:color w:val="auto"/>
          <w:szCs w:val="21"/>
          <w:highlight w:val="none"/>
        </w:rPr>
        <w:t>指导性标准做法</w:t>
      </w:r>
    </w:p>
    <w:p>
      <w:pPr>
        <w:rPr>
          <w:rFonts w:ascii="仿宋" w:hAnsi="仿宋" w:eastAsia="仿宋"/>
          <w:color w:val="auto"/>
          <w:highlight w:val="none"/>
        </w:rPr>
      </w:pPr>
      <w:r>
        <w:rPr>
          <w:rFonts w:ascii="仿宋" w:hAnsi="仿宋" w:eastAsia="仿宋"/>
          <w:color w:val="auto"/>
          <w:highlight w:val="none"/>
        </w:rPr>
        <w:drawing>
          <wp:inline distT="0" distB="0" distL="0" distR="0">
            <wp:extent cx="3267075" cy="2447925"/>
            <wp:effectExtent l="0" t="0" r="9525" b="3175"/>
            <wp:docPr id="133" name="图片 18" descr="QQ截图20130104085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8" descr="QQ截图20130104085930"/>
                    <pic:cNvPicPr>
                      <a:picLocks noChangeAspect="1" noChangeArrowheads="1"/>
                    </pic:cNvPicPr>
                  </pic:nvPicPr>
                  <pic:blipFill>
                    <a:blip r:embed="rId27"/>
                    <a:srcRect/>
                    <a:stretch>
                      <a:fillRect/>
                    </a:stretch>
                  </pic:blipFill>
                  <pic:spPr>
                    <a:xfrm>
                      <a:off x="0" y="0"/>
                      <a:ext cx="3267075" cy="2447925"/>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color w:val="auto"/>
          <w:szCs w:val="21"/>
          <w:highlight w:val="none"/>
        </w:rPr>
        <w:t>1.7</w:t>
      </w:r>
      <w:r>
        <w:rPr>
          <w:rFonts w:hint="eastAsia"/>
          <w:color w:val="auto"/>
          <w:szCs w:val="21"/>
          <w:highlight w:val="none"/>
        </w:rPr>
        <w:t>、施工电梯、物料提升机楼层出入口两侧边</w:t>
      </w:r>
    </w:p>
    <w:p>
      <w:pPr>
        <w:spacing w:line="360" w:lineRule="auto"/>
        <w:rPr>
          <w:color w:val="auto"/>
          <w:szCs w:val="21"/>
          <w:highlight w:val="none"/>
        </w:rPr>
      </w:pPr>
      <w:r>
        <w:rPr>
          <w:rFonts w:hint="eastAsia"/>
          <w:color w:val="auto"/>
          <w:szCs w:val="21"/>
          <w:highlight w:val="none"/>
        </w:rPr>
        <w:t>施工电梯、物料提升机楼层卸料平台应采用钢管、扣件搭设，两侧边的防护栏杆也应采用钢管、扣件搭设，同时自上而下加挂安全立网或满扎竹笆或采用层板封闭防护。</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057775" cy="2200275"/>
            <wp:effectExtent l="0" t="0" r="0" b="0"/>
            <wp:docPr id="134" name="图片 17" descr="5卸料平台两侧边防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7" descr="5卸料平台两侧边防护"/>
                    <pic:cNvPicPr>
                      <a:picLocks noChangeAspect="1" noChangeArrowheads="1"/>
                    </pic:cNvPicPr>
                  </pic:nvPicPr>
                  <pic:blipFill>
                    <a:blip r:embed="rId28"/>
                    <a:srcRect l="13741" t="5725" r="17523" b="21588"/>
                    <a:stretch>
                      <a:fillRect/>
                    </a:stretch>
                  </pic:blipFill>
                  <pic:spPr>
                    <a:xfrm>
                      <a:off x="0" y="0"/>
                      <a:ext cx="5057775" cy="2200275"/>
                    </a:xfrm>
                    <a:prstGeom prst="rect">
                      <a:avLst/>
                    </a:prstGeom>
                    <a:noFill/>
                    <a:ln w="9525">
                      <a:noFill/>
                      <a:miter lim="800000"/>
                      <a:headEnd/>
                      <a:tailEnd/>
                    </a:ln>
                  </pic:spPr>
                </pic:pic>
              </a:graphicData>
            </a:graphic>
          </wp:inline>
        </w:drawing>
      </w:r>
    </w:p>
    <w:p>
      <w:pPr>
        <w:spacing w:line="360" w:lineRule="auto"/>
        <w:rPr>
          <w:color w:val="auto"/>
          <w:szCs w:val="21"/>
          <w:highlight w:val="none"/>
        </w:rPr>
      </w:pPr>
    </w:p>
    <w:p>
      <w:pPr>
        <w:spacing w:line="360" w:lineRule="auto"/>
        <w:rPr>
          <w:color w:val="auto"/>
          <w:szCs w:val="21"/>
          <w:highlight w:val="none"/>
        </w:rPr>
      </w:pPr>
      <w:r>
        <w:rPr>
          <w:rFonts w:hint="eastAsia"/>
          <w:color w:val="auto"/>
          <w:szCs w:val="21"/>
          <w:highlight w:val="none"/>
        </w:rPr>
        <w:t>指导性标准做法</w:t>
      </w:r>
    </w:p>
    <w:p>
      <w:pPr>
        <w:spacing w:line="360" w:lineRule="auto"/>
        <w:rPr>
          <w:color w:val="auto"/>
          <w:szCs w:val="21"/>
          <w:highlight w:val="none"/>
        </w:rPr>
      </w:pPr>
    </w:p>
    <w:p>
      <w:pPr>
        <w:spacing w:line="360" w:lineRule="auto"/>
        <w:rPr>
          <w:rFonts w:ascii="仿宋" w:hAnsi="仿宋" w:eastAsia="仿宋"/>
          <w:color w:val="auto"/>
          <w:highlight w:val="none"/>
        </w:rPr>
      </w:pPr>
      <w:r>
        <w:rPr>
          <w:color w:val="auto"/>
          <w:szCs w:val="21"/>
          <w:highlight w:val="none"/>
        </w:rPr>
        <w:drawing>
          <wp:anchor distT="0" distB="0" distL="114300" distR="114300" simplePos="0" relativeHeight="251663360" behindDoc="0" locked="0" layoutInCell="1" allowOverlap="1">
            <wp:simplePos x="0" y="0"/>
            <wp:positionH relativeFrom="column">
              <wp:posOffset>114300</wp:posOffset>
            </wp:positionH>
            <wp:positionV relativeFrom="paragraph">
              <wp:posOffset>304165</wp:posOffset>
            </wp:positionV>
            <wp:extent cx="2800985" cy="2103120"/>
            <wp:effectExtent l="0" t="0" r="5715" b="5080"/>
            <wp:wrapSquare wrapText="bothSides"/>
            <wp:docPr id="135" name="图片 191" descr="QQ截图2013010409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91" descr="QQ截图20130104090126"/>
                    <pic:cNvPicPr>
                      <a:picLocks noChangeAspect="1" noChangeArrowheads="1"/>
                    </pic:cNvPicPr>
                  </pic:nvPicPr>
                  <pic:blipFill>
                    <a:blip r:embed="rId29"/>
                    <a:srcRect/>
                    <a:stretch>
                      <a:fillRect/>
                    </a:stretch>
                  </pic:blipFill>
                  <pic:spPr>
                    <a:xfrm>
                      <a:off x="0" y="0"/>
                      <a:ext cx="2800985" cy="2103120"/>
                    </a:xfrm>
                    <a:prstGeom prst="rect">
                      <a:avLst/>
                    </a:prstGeom>
                    <a:noFill/>
                    <a:ln w="9525">
                      <a:noFill/>
                      <a:miter lim="800000"/>
                      <a:headEnd/>
                      <a:tailEnd/>
                    </a:ln>
                  </pic:spPr>
                </pic:pic>
              </a:graphicData>
            </a:graphic>
          </wp:anchor>
        </w:drawing>
      </w:r>
    </w:p>
    <w:p>
      <w:pPr>
        <w:spacing w:line="360" w:lineRule="auto"/>
        <w:rPr>
          <w:color w:val="auto"/>
          <w:szCs w:val="21"/>
          <w:highlight w:val="none"/>
        </w:rPr>
      </w:pPr>
    </w:p>
    <w:p>
      <w:pPr>
        <w:spacing w:line="360" w:lineRule="auto"/>
        <w:rPr>
          <w:b/>
          <w:color w:val="auto"/>
          <w:szCs w:val="21"/>
          <w:highlight w:val="none"/>
        </w:rPr>
      </w:pPr>
      <w:r>
        <w:rPr>
          <w:color w:val="auto"/>
          <w:szCs w:val="21"/>
          <w:highlight w:val="none"/>
        </w:rPr>
        <w:drawing>
          <wp:anchor distT="0" distB="0" distL="114300" distR="114300" simplePos="0" relativeHeight="251664384" behindDoc="0" locked="0" layoutInCell="1" allowOverlap="1">
            <wp:simplePos x="0" y="0"/>
            <wp:positionH relativeFrom="column">
              <wp:posOffset>-20320</wp:posOffset>
            </wp:positionH>
            <wp:positionV relativeFrom="paragraph">
              <wp:posOffset>-165735</wp:posOffset>
            </wp:positionV>
            <wp:extent cx="3016250" cy="2066290"/>
            <wp:effectExtent l="0" t="0" r="6350" b="3810"/>
            <wp:wrapSquare wrapText="bothSides"/>
            <wp:docPr id="136" name="图片 190" descr="QQ截图2013010409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90" descr="QQ截图20130104090155"/>
                    <pic:cNvPicPr>
                      <a:picLocks noChangeAspect="1" noChangeArrowheads="1"/>
                    </pic:cNvPicPr>
                  </pic:nvPicPr>
                  <pic:blipFill>
                    <a:blip r:embed="rId30"/>
                    <a:srcRect/>
                    <a:stretch>
                      <a:fillRect/>
                    </a:stretch>
                  </pic:blipFill>
                  <pic:spPr>
                    <a:xfrm>
                      <a:off x="0" y="0"/>
                      <a:ext cx="3016250" cy="2066290"/>
                    </a:xfrm>
                    <a:prstGeom prst="rect">
                      <a:avLst/>
                    </a:prstGeom>
                    <a:noFill/>
                    <a:ln w="9525">
                      <a:noFill/>
                      <a:miter lim="800000"/>
                      <a:headEnd/>
                      <a:tailEnd/>
                    </a:ln>
                  </pic:spPr>
                </pic:pic>
              </a:graphicData>
            </a:graphic>
          </wp:anchor>
        </w:drawing>
      </w:r>
      <w:r>
        <w:rPr>
          <w:b/>
          <w:color w:val="auto"/>
          <w:szCs w:val="21"/>
          <w:highlight w:val="none"/>
        </w:rPr>
        <w:t>2</w:t>
      </w:r>
      <w:r>
        <w:rPr>
          <w:rFonts w:hint="eastAsia"/>
          <w:b/>
          <w:color w:val="auto"/>
          <w:szCs w:val="21"/>
          <w:highlight w:val="none"/>
        </w:rPr>
        <w:t>洞口防护</w:t>
      </w:r>
    </w:p>
    <w:p>
      <w:pPr>
        <w:spacing w:line="360" w:lineRule="auto"/>
        <w:rPr>
          <w:color w:val="auto"/>
          <w:szCs w:val="21"/>
          <w:highlight w:val="none"/>
        </w:rPr>
      </w:pPr>
      <w:r>
        <w:rPr>
          <w:rFonts w:hint="eastAsia"/>
          <w:color w:val="auto"/>
          <w:szCs w:val="21"/>
          <w:highlight w:val="none"/>
        </w:rPr>
        <w:t>应用范围：</w:t>
      </w:r>
    </w:p>
    <w:p>
      <w:pPr>
        <w:spacing w:line="360" w:lineRule="auto"/>
        <w:rPr>
          <w:color w:val="auto"/>
          <w:szCs w:val="21"/>
          <w:highlight w:val="none"/>
        </w:rPr>
      </w:pPr>
      <w:r>
        <w:rPr>
          <w:rFonts w:hint="eastAsia"/>
          <w:color w:val="auto"/>
          <w:szCs w:val="21"/>
          <w:highlight w:val="none"/>
        </w:rPr>
        <w:t>因工程本身存在或因工序需要而产生的，使人与物有坠落危险而危及人身安全的洞口，均应采取防护措施。</w:t>
      </w:r>
    </w:p>
    <w:p>
      <w:pPr>
        <w:spacing w:line="360" w:lineRule="auto"/>
        <w:rPr>
          <w:color w:val="auto"/>
          <w:szCs w:val="21"/>
          <w:highlight w:val="none"/>
        </w:rPr>
      </w:pPr>
      <w:r>
        <w:rPr>
          <w:rFonts w:hint="eastAsia"/>
          <w:color w:val="auto"/>
          <w:szCs w:val="21"/>
          <w:highlight w:val="none"/>
        </w:rPr>
        <w:t>基本要求：</w:t>
      </w:r>
    </w:p>
    <w:p>
      <w:pPr>
        <w:spacing w:line="360" w:lineRule="auto"/>
        <w:rPr>
          <w:color w:val="auto"/>
          <w:szCs w:val="21"/>
          <w:highlight w:val="none"/>
        </w:rPr>
      </w:pPr>
      <w:r>
        <w:rPr>
          <w:color w:val="auto"/>
          <w:szCs w:val="21"/>
          <w:highlight w:val="none"/>
        </w:rPr>
        <w:t>2.1</w:t>
      </w:r>
      <w:r>
        <w:rPr>
          <w:rFonts w:hint="eastAsia"/>
          <w:color w:val="auto"/>
          <w:szCs w:val="21"/>
          <w:highlight w:val="none"/>
        </w:rPr>
        <w:t>、板与墙洞口，必须设置牢固的盖板、防护栏杆、安全网或其它防坠落的防护措施。</w:t>
      </w:r>
    </w:p>
    <w:p>
      <w:pPr>
        <w:spacing w:line="360" w:lineRule="auto"/>
        <w:rPr>
          <w:color w:val="auto"/>
          <w:szCs w:val="21"/>
          <w:highlight w:val="none"/>
        </w:rPr>
      </w:pPr>
      <w:r>
        <w:rPr>
          <w:color w:val="auto"/>
          <w:szCs w:val="21"/>
          <w:highlight w:val="none"/>
        </w:rPr>
        <w:t>2.2</w:t>
      </w:r>
      <w:r>
        <w:rPr>
          <w:rFonts w:hint="eastAsia"/>
          <w:color w:val="auto"/>
          <w:szCs w:val="21"/>
          <w:highlight w:val="none"/>
        </w:rPr>
        <w:t>、钢管桩、钻孔桩等桩孔上口，杯形、条形基础上口，未填土的坑槽，以及天窗、地板门等处，均应按洞口防护设置稳固的盖件。</w:t>
      </w:r>
    </w:p>
    <w:p>
      <w:pPr>
        <w:spacing w:line="360" w:lineRule="auto"/>
        <w:rPr>
          <w:color w:val="auto"/>
          <w:szCs w:val="21"/>
          <w:highlight w:val="none"/>
        </w:rPr>
      </w:pPr>
      <w:r>
        <w:rPr>
          <w:color w:val="auto"/>
          <w:szCs w:val="21"/>
          <w:highlight w:val="none"/>
        </w:rPr>
        <w:t>2.3</w:t>
      </w:r>
      <w:r>
        <w:rPr>
          <w:rFonts w:hint="eastAsia"/>
          <w:color w:val="auto"/>
          <w:szCs w:val="21"/>
          <w:highlight w:val="none"/>
        </w:rPr>
        <w:t>、施工现场通道附近的各类洞口与坑槽等处，除设防护设施与安全标志外，夜间还应设红灯警示。</w:t>
      </w:r>
    </w:p>
    <w:p>
      <w:pPr>
        <w:spacing w:line="360" w:lineRule="auto"/>
        <w:rPr>
          <w:color w:val="auto"/>
          <w:szCs w:val="21"/>
          <w:highlight w:val="none"/>
        </w:rPr>
      </w:pPr>
      <w:r>
        <w:rPr>
          <w:rFonts w:hint="eastAsia"/>
          <w:color w:val="auto"/>
          <w:szCs w:val="21"/>
          <w:highlight w:val="none"/>
        </w:rPr>
        <w:t>防护方式：</w:t>
      </w:r>
    </w:p>
    <w:p>
      <w:pPr>
        <w:spacing w:line="360" w:lineRule="auto"/>
        <w:rPr>
          <w:color w:val="auto"/>
          <w:szCs w:val="21"/>
          <w:highlight w:val="none"/>
        </w:rPr>
      </w:pPr>
      <w:r>
        <w:rPr>
          <w:color w:val="auto"/>
          <w:szCs w:val="21"/>
          <w:highlight w:val="none"/>
        </w:rPr>
        <w:t>2.3.1</w:t>
      </w:r>
      <w:r>
        <w:rPr>
          <w:rFonts w:hint="eastAsia"/>
          <w:color w:val="auto"/>
          <w:szCs w:val="21"/>
          <w:highlight w:val="none"/>
        </w:rPr>
        <w:t>、楼板、屋面和平台等面上短边尺寸小于</w:t>
      </w:r>
      <w:r>
        <w:rPr>
          <w:color w:val="auto"/>
          <w:szCs w:val="21"/>
          <w:highlight w:val="none"/>
        </w:rPr>
        <w:t>25cm</w:t>
      </w:r>
      <w:r>
        <w:rPr>
          <w:rFonts w:hint="eastAsia"/>
          <w:color w:val="auto"/>
          <w:szCs w:val="21"/>
          <w:highlight w:val="none"/>
        </w:rPr>
        <w:t>但大于</w:t>
      </w:r>
      <w:r>
        <w:rPr>
          <w:color w:val="auto"/>
          <w:szCs w:val="21"/>
          <w:highlight w:val="none"/>
        </w:rPr>
        <w:t>2.5cm</w:t>
      </w:r>
      <w:r>
        <w:rPr>
          <w:rFonts w:hint="eastAsia"/>
          <w:color w:val="auto"/>
          <w:szCs w:val="21"/>
          <w:highlight w:val="none"/>
        </w:rPr>
        <w:t>的孔口，必须用坚实的木盖板盖严，盖板应能防止挪动移位。</w:t>
      </w:r>
    </w:p>
    <w:p>
      <w:pPr>
        <w:spacing w:line="360" w:lineRule="auto"/>
        <w:rPr>
          <w:color w:val="auto"/>
          <w:szCs w:val="21"/>
          <w:highlight w:val="none"/>
        </w:rPr>
      </w:pPr>
      <w:r>
        <w:rPr>
          <w:color w:val="auto"/>
          <w:szCs w:val="21"/>
          <w:highlight w:val="none"/>
        </w:rPr>
        <w:t>2.3.2</w:t>
      </w:r>
      <w:r>
        <w:rPr>
          <w:rFonts w:hint="eastAsia"/>
          <w:color w:val="auto"/>
          <w:szCs w:val="21"/>
          <w:highlight w:val="none"/>
        </w:rPr>
        <w:t>、楼板面等处边长</w:t>
      </w:r>
      <w:r>
        <w:rPr>
          <w:color w:val="auto"/>
          <w:szCs w:val="21"/>
          <w:highlight w:val="none"/>
        </w:rPr>
        <w:t>25</w:t>
      </w:r>
      <w:r>
        <w:rPr>
          <w:rFonts w:hint="eastAsia"/>
          <w:color w:val="auto"/>
          <w:szCs w:val="21"/>
          <w:highlight w:val="none"/>
        </w:rPr>
        <w:t>～</w:t>
      </w:r>
      <w:r>
        <w:rPr>
          <w:color w:val="auto"/>
          <w:szCs w:val="21"/>
          <w:highlight w:val="none"/>
        </w:rPr>
        <w:t>50cm</w:t>
      </w:r>
      <w:r>
        <w:rPr>
          <w:rFonts w:hint="eastAsia"/>
          <w:color w:val="auto"/>
          <w:szCs w:val="21"/>
          <w:highlight w:val="none"/>
        </w:rPr>
        <w:t>的洞口、安装预制构件时的洞口以及其它各类洞口，可用竹、木等作盖板，盖住洞口。盖板保持四周搁置均衡，并有固定其位置的措施。</w:t>
      </w:r>
    </w:p>
    <w:p>
      <w:pPr>
        <w:spacing w:line="360" w:lineRule="auto"/>
        <w:rPr>
          <w:color w:val="auto"/>
          <w:szCs w:val="21"/>
          <w:highlight w:val="none"/>
        </w:rPr>
      </w:pPr>
      <w:r>
        <w:rPr>
          <w:color w:val="auto"/>
          <w:szCs w:val="21"/>
          <w:highlight w:val="none"/>
        </w:rPr>
        <w:t>2.3.3</w:t>
      </w:r>
      <w:r>
        <w:rPr>
          <w:rFonts w:hint="eastAsia"/>
          <w:color w:val="auto"/>
          <w:szCs w:val="21"/>
          <w:highlight w:val="none"/>
        </w:rPr>
        <w:t>、边长在</w:t>
      </w:r>
      <w:r>
        <w:rPr>
          <w:color w:val="auto"/>
          <w:szCs w:val="21"/>
          <w:highlight w:val="none"/>
        </w:rPr>
        <w:t>50</w:t>
      </w:r>
      <w:r>
        <w:rPr>
          <w:rFonts w:hint="eastAsia"/>
          <w:color w:val="auto"/>
          <w:szCs w:val="21"/>
          <w:highlight w:val="none"/>
        </w:rPr>
        <w:t>～</w:t>
      </w:r>
      <w:r>
        <w:rPr>
          <w:color w:val="auto"/>
          <w:szCs w:val="21"/>
          <w:highlight w:val="none"/>
        </w:rPr>
        <w:t>150cm</w:t>
      </w:r>
      <w:r>
        <w:rPr>
          <w:rFonts w:hint="eastAsia"/>
          <w:color w:val="auto"/>
          <w:szCs w:val="21"/>
          <w:highlight w:val="none"/>
        </w:rPr>
        <w:t>的洞口，必须设置以扣件扣接钢管而成的</w:t>
      </w:r>
      <w:r>
        <w:rPr>
          <w:color w:val="auto"/>
          <w:szCs w:val="21"/>
          <w:highlight w:val="none"/>
        </w:rPr>
        <w:t>1000</w:t>
      </w:r>
      <w:r>
        <w:rPr>
          <w:rFonts w:hint="eastAsia"/>
          <w:color w:val="auto"/>
          <w:szCs w:val="21"/>
          <w:highlight w:val="none"/>
        </w:rPr>
        <w:t>×</w:t>
      </w:r>
      <w:r>
        <w:rPr>
          <w:color w:val="auto"/>
          <w:szCs w:val="21"/>
          <w:highlight w:val="none"/>
        </w:rPr>
        <w:t>1000mm</w:t>
      </w:r>
      <w:r>
        <w:rPr>
          <w:rFonts w:hint="eastAsia"/>
          <w:color w:val="auto"/>
          <w:szCs w:val="21"/>
          <w:highlight w:val="none"/>
        </w:rPr>
        <w:t>的网格，并在其上满铺脚手板。也可采用贯穿于混凝土板内的钢筋构成防护网，钢筋网格间距不得大于</w:t>
      </w:r>
      <w:r>
        <w:rPr>
          <w:color w:val="auto"/>
          <w:szCs w:val="21"/>
          <w:highlight w:val="none"/>
        </w:rPr>
        <w:t>20cm</w:t>
      </w:r>
      <w:r>
        <w:rPr>
          <w:rFonts w:hint="eastAsia"/>
          <w:color w:val="auto"/>
          <w:szCs w:val="21"/>
          <w:highlight w:val="none"/>
        </w:rPr>
        <w:t>，并在其上满铺竹笆或脚手板。</w:t>
      </w:r>
    </w:p>
    <w:p>
      <w:pPr>
        <w:spacing w:line="360" w:lineRule="auto"/>
        <w:rPr>
          <w:color w:val="auto"/>
          <w:szCs w:val="21"/>
          <w:highlight w:val="none"/>
        </w:rPr>
      </w:pPr>
      <w:r>
        <w:rPr>
          <w:color w:val="auto"/>
          <w:szCs w:val="21"/>
          <w:highlight w:val="none"/>
        </w:rPr>
        <w:t>2.3.4</w:t>
      </w:r>
      <w:r>
        <w:rPr>
          <w:rFonts w:hint="eastAsia"/>
          <w:color w:val="auto"/>
          <w:szCs w:val="21"/>
          <w:highlight w:val="none"/>
        </w:rPr>
        <w:t>、边长在</w:t>
      </w:r>
      <w:r>
        <w:rPr>
          <w:color w:val="auto"/>
          <w:szCs w:val="21"/>
          <w:highlight w:val="none"/>
        </w:rPr>
        <w:t>150cm</w:t>
      </w:r>
      <w:r>
        <w:rPr>
          <w:rFonts w:hint="eastAsia"/>
          <w:color w:val="auto"/>
          <w:szCs w:val="21"/>
          <w:highlight w:val="none"/>
        </w:rPr>
        <w:t>以上的洞口，四周设防护栏杆，洞口下张设安全平网。</w:t>
      </w:r>
    </w:p>
    <w:p>
      <w:pPr>
        <w:spacing w:line="360" w:lineRule="auto"/>
        <w:rPr>
          <w:color w:val="auto"/>
          <w:szCs w:val="21"/>
          <w:highlight w:val="none"/>
        </w:rPr>
      </w:pPr>
      <w:r>
        <w:rPr>
          <w:color w:val="auto"/>
          <w:szCs w:val="21"/>
          <w:highlight w:val="none"/>
        </w:rPr>
        <w:t>2.3.5</w:t>
      </w:r>
      <w:r>
        <w:rPr>
          <w:rFonts w:hint="eastAsia"/>
          <w:color w:val="auto"/>
          <w:szCs w:val="21"/>
          <w:highlight w:val="none"/>
        </w:rPr>
        <w:t>、墙面等处的竖向落地洞口，应加装开关式、工具式或固定式防护门，门栅网格间距不应大于</w:t>
      </w:r>
      <w:r>
        <w:rPr>
          <w:color w:val="auto"/>
          <w:szCs w:val="21"/>
          <w:highlight w:val="none"/>
        </w:rPr>
        <w:t>15cm</w:t>
      </w:r>
      <w:r>
        <w:rPr>
          <w:rFonts w:hint="eastAsia"/>
          <w:color w:val="auto"/>
          <w:szCs w:val="21"/>
          <w:highlight w:val="none"/>
        </w:rPr>
        <w:t>，也可采用防护栏杆挂安全立网，下设</w:t>
      </w:r>
      <w:r>
        <w:rPr>
          <w:color w:val="auto"/>
          <w:szCs w:val="21"/>
          <w:highlight w:val="none"/>
        </w:rPr>
        <w:t>200mm</w:t>
      </w:r>
      <w:r>
        <w:rPr>
          <w:rFonts w:hint="eastAsia"/>
          <w:color w:val="auto"/>
          <w:szCs w:val="21"/>
          <w:highlight w:val="none"/>
        </w:rPr>
        <w:t>高的挡脚板。</w:t>
      </w:r>
    </w:p>
    <w:p>
      <w:pPr>
        <w:spacing w:line="360" w:lineRule="auto"/>
        <w:rPr>
          <w:color w:val="auto"/>
          <w:szCs w:val="21"/>
          <w:highlight w:val="none"/>
        </w:rPr>
      </w:pPr>
      <w:r>
        <w:rPr>
          <w:color w:val="auto"/>
          <w:szCs w:val="21"/>
          <w:highlight w:val="none"/>
        </w:rPr>
        <w:t>2.3.6</w:t>
      </w:r>
      <w:r>
        <w:rPr>
          <w:rFonts w:hint="eastAsia"/>
          <w:color w:val="auto"/>
          <w:szCs w:val="21"/>
          <w:highlight w:val="none"/>
        </w:rPr>
        <w:t>、下边沿至楼板或底面低于</w:t>
      </w:r>
      <w:r>
        <w:rPr>
          <w:color w:val="auto"/>
          <w:szCs w:val="21"/>
          <w:highlight w:val="none"/>
        </w:rPr>
        <w:t>80cm</w:t>
      </w:r>
      <w:r>
        <w:rPr>
          <w:rFonts w:hint="eastAsia"/>
          <w:color w:val="auto"/>
          <w:szCs w:val="21"/>
          <w:highlight w:val="none"/>
        </w:rPr>
        <w:t>的窗台等竖向洞口，如侧边落差大于</w:t>
      </w:r>
      <w:r>
        <w:rPr>
          <w:color w:val="auto"/>
          <w:szCs w:val="21"/>
          <w:highlight w:val="none"/>
        </w:rPr>
        <w:t>2m</w:t>
      </w:r>
      <w:r>
        <w:rPr>
          <w:rFonts w:hint="eastAsia"/>
          <w:color w:val="auto"/>
          <w:szCs w:val="21"/>
          <w:highlight w:val="none"/>
        </w:rPr>
        <w:t>，应加设</w:t>
      </w:r>
      <w:r>
        <w:rPr>
          <w:color w:val="auto"/>
          <w:szCs w:val="21"/>
          <w:highlight w:val="none"/>
        </w:rPr>
        <w:t>1.2</w:t>
      </w:r>
      <w:r>
        <w:rPr>
          <w:rFonts w:hint="eastAsia"/>
          <w:color w:val="auto"/>
          <w:szCs w:val="21"/>
          <w:highlight w:val="none"/>
        </w:rPr>
        <w:t>米高临时护栏。</w:t>
      </w:r>
    </w:p>
    <w:p>
      <w:pPr>
        <w:spacing w:line="360" w:lineRule="auto"/>
        <w:rPr>
          <w:color w:val="auto"/>
          <w:szCs w:val="21"/>
          <w:highlight w:val="none"/>
        </w:rPr>
      </w:pPr>
      <w:r>
        <w:rPr>
          <w:color w:val="auto"/>
          <w:szCs w:val="21"/>
          <w:highlight w:val="none"/>
        </w:rPr>
        <w:t>2.3.7</w:t>
      </w:r>
      <w:r>
        <w:rPr>
          <w:rFonts w:hint="eastAsia"/>
          <w:color w:val="auto"/>
          <w:szCs w:val="21"/>
          <w:highlight w:val="none"/>
        </w:rPr>
        <w:t>、对邻近的人与物有坠落危险性的其它竖向孔、洞口，均应予以盖严，或加以防护。</w:t>
      </w:r>
    </w:p>
    <w:p>
      <w:pPr>
        <w:spacing w:line="360" w:lineRule="auto"/>
        <w:rPr>
          <w:color w:val="auto"/>
          <w:szCs w:val="21"/>
          <w:highlight w:val="none"/>
        </w:rPr>
      </w:pPr>
      <w:r>
        <w:rPr>
          <w:color w:val="auto"/>
          <w:szCs w:val="21"/>
          <w:highlight w:val="none"/>
        </w:rPr>
        <w:t>2.4</w:t>
      </w:r>
      <w:r>
        <w:rPr>
          <w:rFonts w:hint="eastAsia"/>
          <w:color w:val="auto"/>
          <w:szCs w:val="21"/>
          <w:highlight w:val="none"/>
        </w:rPr>
        <w:t>、小洞口防护</w:t>
      </w:r>
    </w:p>
    <w:p>
      <w:pPr>
        <w:spacing w:line="360" w:lineRule="auto"/>
        <w:rPr>
          <w:color w:val="auto"/>
          <w:szCs w:val="21"/>
          <w:highlight w:val="none"/>
        </w:rPr>
      </w:pPr>
      <w:r>
        <w:rPr>
          <w:rFonts w:hint="eastAsia"/>
          <w:color w:val="auto"/>
          <w:szCs w:val="21"/>
          <w:highlight w:val="none"/>
        </w:rPr>
        <w:t>楼板、屋面和平台等面上短边尺寸小于</w:t>
      </w:r>
      <w:r>
        <w:rPr>
          <w:color w:val="auto"/>
          <w:szCs w:val="21"/>
          <w:highlight w:val="none"/>
        </w:rPr>
        <w:t>250mm</w:t>
      </w:r>
      <w:r>
        <w:rPr>
          <w:rFonts w:hint="eastAsia"/>
          <w:color w:val="auto"/>
          <w:szCs w:val="21"/>
          <w:highlight w:val="none"/>
        </w:rPr>
        <w:t>但大于</w:t>
      </w:r>
      <w:r>
        <w:rPr>
          <w:color w:val="auto"/>
          <w:szCs w:val="21"/>
          <w:highlight w:val="none"/>
        </w:rPr>
        <w:t>25mm</w:t>
      </w:r>
      <w:r>
        <w:rPr>
          <w:rFonts w:hint="eastAsia"/>
          <w:color w:val="auto"/>
          <w:szCs w:val="21"/>
          <w:highlight w:val="none"/>
        </w:rPr>
        <w:t>的孔口，必须用坚实盖板盖没。盖板上钉短木枋</w:t>
      </w:r>
      <w:r>
        <w:rPr>
          <w:color w:val="auto"/>
          <w:szCs w:val="21"/>
          <w:highlight w:val="none"/>
        </w:rPr>
        <w:t>,</w:t>
      </w:r>
      <w:r>
        <w:rPr>
          <w:rFonts w:hint="eastAsia"/>
          <w:color w:val="auto"/>
          <w:szCs w:val="21"/>
          <w:highlight w:val="none"/>
        </w:rPr>
        <w:t>让其卡在洞口防止挪动移位。</w:t>
      </w:r>
    </w:p>
    <w:p>
      <w:pPr>
        <w:spacing w:line="360" w:lineRule="auto"/>
        <w:rPr>
          <w:color w:val="auto"/>
          <w:szCs w:val="21"/>
          <w:highlight w:val="none"/>
        </w:rPr>
      </w:pPr>
      <w:r>
        <w:rPr>
          <w:rFonts w:hint="eastAsia"/>
          <w:color w:val="auto"/>
          <w:szCs w:val="21"/>
          <w:highlight w:val="none"/>
        </w:rPr>
        <w:t>楼板面等处边长为</w:t>
      </w:r>
      <w:r>
        <w:rPr>
          <w:color w:val="auto"/>
          <w:szCs w:val="21"/>
          <w:highlight w:val="none"/>
        </w:rPr>
        <w:t>250-500mm</w:t>
      </w:r>
      <w:r>
        <w:rPr>
          <w:rFonts w:hint="eastAsia"/>
          <w:color w:val="auto"/>
          <w:szCs w:val="21"/>
          <w:highlight w:val="none"/>
        </w:rPr>
        <w:t>的洞口、安装预制构件时的洞口以及缺件临时形成的洞口，可用竹、木等作盖板，盖住动口。盖板必须保持四周搁置均衡，并用铁丝反拉固定其位置。</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943600" cy="1943100"/>
            <wp:effectExtent l="0" t="0" r="0" b="0"/>
            <wp:docPr id="137" name="图片 16" descr="6～7洞口防护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6" descr="6～7洞口防护11"/>
                    <pic:cNvPicPr>
                      <a:picLocks noChangeAspect="1" noChangeArrowheads="1"/>
                    </pic:cNvPicPr>
                  </pic:nvPicPr>
                  <pic:blipFill>
                    <a:blip r:embed="rId31"/>
                    <a:srcRect l="7846" t="11517" r="3784" b="38486"/>
                    <a:stretch>
                      <a:fillRect/>
                    </a:stretch>
                  </pic:blipFill>
                  <pic:spPr>
                    <a:xfrm>
                      <a:off x="0" y="0"/>
                      <a:ext cx="5943600" cy="194310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color w:val="auto"/>
          <w:szCs w:val="21"/>
          <w:highlight w:val="none"/>
        </w:rPr>
        <w:t>2.5</w:t>
      </w:r>
      <w:r>
        <w:rPr>
          <w:rFonts w:hint="eastAsia"/>
          <w:color w:val="auto"/>
          <w:szCs w:val="21"/>
          <w:highlight w:val="none"/>
        </w:rPr>
        <w:t>、小洞口防护（短边尺寸小于</w:t>
      </w:r>
      <w:r>
        <w:rPr>
          <w:color w:val="auto"/>
          <w:szCs w:val="21"/>
          <w:highlight w:val="none"/>
        </w:rPr>
        <w:t>1500mm</w:t>
      </w:r>
      <w:r>
        <w:rPr>
          <w:rFonts w:hint="eastAsia"/>
          <w:color w:val="auto"/>
          <w:szCs w:val="21"/>
          <w:highlight w:val="none"/>
        </w:rPr>
        <w:t>）</w:t>
      </w:r>
    </w:p>
    <w:p>
      <w:pPr>
        <w:spacing w:line="360" w:lineRule="auto"/>
        <w:rPr>
          <w:color w:val="auto"/>
          <w:szCs w:val="21"/>
          <w:highlight w:val="none"/>
        </w:rPr>
      </w:pPr>
      <w:r>
        <w:rPr>
          <w:rFonts w:hint="eastAsia"/>
          <w:color w:val="auto"/>
          <w:szCs w:val="21"/>
          <w:highlight w:val="none"/>
        </w:rPr>
        <w:t>边长为</w:t>
      </w:r>
      <w:r>
        <w:rPr>
          <w:color w:val="auto"/>
          <w:szCs w:val="21"/>
          <w:highlight w:val="none"/>
        </w:rPr>
        <w:t>500-1500mm</w:t>
      </w:r>
      <w:r>
        <w:rPr>
          <w:rFonts w:hint="eastAsia"/>
          <w:color w:val="auto"/>
          <w:szCs w:val="21"/>
          <w:highlight w:val="none"/>
        </w:rPr>
        <w:t>的洞口，必须设置以扣件扣接钢管而成的网格，并在其上满铺脚手板。</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905500" cy="3248025"/>
            <wp:effectExtent l="0" t="0" r="0" b="0"/>
            <wp:docPr id="138" name="图片 15" descr="6～7洞口防护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5" descr="6～7洞口防护12"/>
                    <pic:cNvPicPr>
                      <a:picLocks noChangeAspect="1" noChangeArrowheads="1"/>
                    </pic:cNvPicPr>
                  </pic:nvPicPr>
                  <pic:blipFill>
                    <a:blip r:embed="rId32"/>
                    <a:srcRect l="23578" t="23312" r="17523" b="20622"/>
                    <a:stretch>
                      <a:fillRect/>
                    </a:stretch>
                  </pic:blipFill>
                  <pic:spPr>
                    <a:xfrm>
                      <a:off x="0" y="0"/>
                      <a:ext cx="5905500" cy="3248025"/>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对于处于剪力墙的墙角或其他不便于盖板防护的洞口</w:t>
      </w:r>
      <w:r>
        <w:rPr>
          <w:color w:val="auto"/>
          <w:szCs w:val="21"/>
          <w:highlight w:val="none"/>
        </w:rPr>
        <w:t>,</w:t>
      </w:r>
      <w:r>
        <w:rPr>
          <w:rFonts w:hint="eastAsia"/>
          <w:color w:val="auto"/>
          <w:szCs w:val="21"/>
          <w:highlight w:val="none"/>
        </w:rPr>
        <w:t>应预设贯穿于混凝土板内的钢筋构成防护网，钢筋网格间距不得大于</w:t>
      </w:r>
      <w:r>
        <w:rPr>
          <w:color w:val="auto"/>
          <w:szCs w:val="21"/>
          <w:highlight w:val="none"/>
        </w:rPr>
        <w:t>200mm</w:t>
      </w:r>
      <w:r>
        <w:rPr>
          <w:rFonts w:hint="eastAsia"/>
          <w:color w:val="auto"/>
          <w:szCs w:val="21"/>
          <w:highlight w:val="none"/>
        </w:rPr>
        <w:t>，然后在其上盖板防护。</w:t>
      </w:r>
    </w:p>
    <w:p>
      <w:pPr>
        <w:spacing w:line="360" w:lineRule="auto"/>
        <w:rPr>
          <w:color w:val="auto"/>
          <w:szCs w:val="21"/>
          <w:highlight w:val="none"/>
        </w:rPr>
      </w:pPr>
      <w:r>
        <w:rPr>
          <w:rFonts w:hint="eastAsia"/>
          <w:color w:val="auto"/>
          <w:szCs w:val="21"/>
          <w:highlight w:val="none"/>
        </w:rPr>
        <w:t>指导性标准做法</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2733675" cy="1971675"/>
            <wp:effectExtent l="0" t="0" r="9525" b="9525"/>
            <wp:docPr id="139" name="图片 14" descr="QQ截图2013010408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4" descr="QQ截图20130104085716"/>
                    <pic:cNvPicPr>
                      <a:picLocks noChangeAspect="1" noChangeArrowheads="1"/>
                    </pic:cNvPicPr>
                  </pic:nvPicPr>
                  <pic:blipFill>
                    <a:blip r:embed="rId33"/>
                    <a:srcRect/>
                    <a:stretch>
                      <a:fillRect/>
                    </a:stretch>
                  </pic:blipFill>
                  <pic:spPr>
                    <a:xfrm>
                      <a:off x="0" y="0"/>
                      <a:ext cx="2733675" cy="1971675"/>
                    </a:xfrm>
                    <a:prstGeom prst="rect">
                      <a:avLst/>
                    </a:prstGeom>
                    <a:noFill/>
                    <a:ln w="9525">
                      <a:noFill/>
                      <a:miter lim="800000"/>
                      <a:headEnd/>
                      <a:tailEnd/>
                    </a:ln>
                  </pic:spPr>
                </pic:pic>
              </a:graphicData>
            </a:graphic>
          </wp:inline>
        </w:drawing>
      </w:r>
      <w:r>
        <w:rPr>
          <w:rFonts w:ascii="仿宋" w:hAnsi="仿宋" w:eastAsia="仿宋"/>
          <w:color w:val="auto"/>
          <w:highlight w:val="none"/>
        </w:rPr>
        <w:drawing>
          <wp:inline distT="0" distB="0" distL="0" distR="0">
            <wp:extent cx="5076825" cy="2743200"/>
            <wp:effectExtent l="0" t="0" r="3175" b="0"/>
            <wp:docPr id="115" name="图片 13" descr="6～7洞口防护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3" descr="6～7洞口防护2"/>
                    <pic:cNvPicPr>
                      <a:picLocks noChangeAspect="1" noChangeArrowheads="1"/>
                    </pic:cNvPicPr>
                  </pic:nvPicPr>
                  <pic:blipFill>
                    <a:blip r:embed="rId34"/>
                    <a:srcRect l="19635" t="14691" r="25369" b="16345"/>
                    <a:stretch>
                      <a:fillRect/>
                    </a:stretch>
                  </pic:blipFill>
                  <pic:spPr>
                    <a:xfrm>
                      <a:off x="0" y="0"/>
                      <a:ext cx="5076825" cy="274320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color w:val="auto"/>
          <w:szCs w:val="21"/>
          <w:highlight w:val="none"/>
        </w:rPr>
        <w:t>2.6</w:t>
      </w:r>
      <w:r>
        <w:rPr>
          <w:rFonts w:hint="eastAsia"/>
          <w:color w:val="auto"/>
          <w:szCs w:val="21"/>
          <w:highlight w:val="none"/>
        </w:rPr>
        <w:t>、大洞口防护（短边尺寸大于</w:t>
      </w:r>
      <w:r>
        <w:rPr>
          <w:color w:val="auto"/>
          <w:szCs w:val="21"/>
          <w:highlight w:val="none"/>
        </w:rPr>
        <w:t>1500</w:t>
      </w:r>
      <w:r>
        <w:rPr>
          <w:rFonts w:hint="eastAsia"/>
          <w:color w:val="auto"/>
          <w:szCs w:val="21"/>
          <w:highlight w:val="none"/>
        </w:rPr>
        <w:t>）</w:t>
      </w:r>
    </w:p>
    <w:p>
      <w:pPr>
        <w:spacing w:line="360" w:lineRule="auto"/>
        <w:rPr>
          <w:color w:val="auto"/>
          <w:szCs w:val="21"/>
          <w:highlight w:val="none"/>
        </w:rPr>
      </w:pPr>
      <w:r>
        <w:rPr>
          <w:rFonts w:hint="eastAsia"/>
          <w:color w:val="auto"/>
          <w:szCs w:val="21"/>
          <w:highlight w:val="none"/>
        </w:rPr>
        <w:t>边长在</w:t>
      </w:r>
      <w:r>
        <w:rPr>
          <w:color w:val="auto"/>
          <w:szCs w:val="21"/>
          <w:highlight w:val="none"/>
        </w:rPr>
        <w:t>150cm</w:t>
      </w:r>
      <w:r>
        <w:rPr>
          <w:rFonts w:hint="eastAsia"/>
          <w:color w:val="auto"/>
          <w:szCs w:val="21"/>
          <w:highlight w:val="none"/>
        </w:rPr>
        <w:t>以上的洞口，四周设防护栏杆，洞口下张设安全平网。</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076825" cy="2743200"/>
            <wp:effectExtent l="0" t="0" r="3175" b="0"/>
            <wp:docPr id="140" name="图片 13" descr="6～7洞口防护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3" descr="6～7洞口防护2"/>
                    <pic:cNvPicPr>
                      <a:picLocks noChangeAspect="1" noChangeArrowheads="1"/>
                    </pic:cNvPicPr>
                  </pic:nvPicPr>
                  <pic:blipFill>
                    <a:blip r:embed="rId34"/>
                    <a:srcRect l="19635" t="14691" r="25369" b="16345"/>
                    <a:stretch>
                      <a:fillRect/>
                    </a:stretch>
                  </pic:blipFill>
                  <pic:spPr>
                    <a:xfrm>
                      <a:off x="0" y="0"/>
                      <a:ext cx="5076825" cy="274320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指导性标准做法</w:t>
      </w:r>
    </w:p>
    <w:p>
      <w:pPr>
        <w:spacing w:line="360" w:lineRule="auto"/>
        <w:rPr>
          <w:color w:val="auto"/>
          <w:szCs w:val="21"/>
          <w:highlight w:val="none"/>
        </w:rPr>
      </w:pPr>
      <w:r>
        <w:rPr>
          <w:color w:val="auto"/>
          <w:szCs w:val="21"/>
          <w:highlight w:val="none"/>
        </w:rPr>
        <w:drawing>
          <wp:anchor distT="0" distB="0" distL="114300" distR="114300" simplePos="0" relativeHeight="251665408" behindDoc="0" locked="0" layoutInCell="1" allowOverlap="1">
            <wp:simplePos x="0" y="0"/>
            <wp:positionH relativeFrom="column">
              <wp:posOffset>-184785</wp:posOffset>
            </wp:positionH>
            <wp:positionV relativeFrom="paragraph">
              <wp:posOffset>341630</wp:posOffset>
            </wp:positionV>
            <wp:extent cx="3072765" cy="2512060"/>
            <wp:effectExtent l="0" t="0" r="635" b="2540"/>
            <wp:wrapTopAndBottom/>
            <wp:docPr id="142" name="图片 189" descr="QQ截图20130104085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89" descr="QQ截图20130104085821"/>
                    <pic:cNvPicPr>
                      <a:picLocks noChangeAspect="1" noChangeArrowheads="1"/>
                    </pic:cNvPicPr>
                  </pic:nvPicPr>
                  <pic:blipFill>
                    <a:blip r:embed="rId35"/>
                    <a:srcRect/>
                    <a:stretch>
                      <a:fillRect/>
                    </a:stretch>
                  </pic:blipFill>
                  <pic:spPr>
                    <a:xfrm>
                      <a:off x="0" y="0"/>
                      <a:ext cx="3072765" cy="2512060"/>
                    </a:xfrm>
                    <a:prstGeom prst="rect">
                      <a:avLst/>
                    </a:prstGeom>
                    <a:noFill/>
                    <a:ln w="9525">
                      <a:noFill/>
                      <a:miter lim="800000"/>
                      <a:headEnd/>
                      <a:tailEnd/>
                    </a:ln>
                  </pic:spPr>
                </pic:pic>
              </a:graphicData>
            </a:graphic>
          </wp:anchor>
        </w:drawing>
      </w:r>
    </w:p>
    <w:p>
      <w:pPr>
        <w:spacing w:line="360" w:lineRule="auto"/>
        <w:rPr>
          <w:color w:val="auto"/>
          <w:szCs w:val="21"/>
          <w:highlight w:val="none"/>
        </w:rPr>
      </w:pPr>
      <w:r>
        <w:rPr>
          <w:color w:val="auto"/>
          <w:szCs w:val="21"/>
          <w:highlight w:val="none"/>
        </w:rPr>
        <w:t>2.7</w:t>
      </w:r>
      <w:r>
        <w:rPr>
          <w:rFonts w:hint="eastAsia"/>
          <w:color w:val="auto"/>
          <w:szCs w:val="21"/>
          <w:highlight w:val="none"/>
        </w:rPr>
        <w:t>、电梯井、管道井的防护</w:t>
      </w:r>
      <w:r>
        <w:rPr>
          <w:rFonts w:ascii="仿宋" w:hAnsi="仿宋" w:eastAsia="仿宋"/>
          <w:color w:val="auto"/>
          <w:highlight w:val="none"/>
        </w:rPr>
        <w:drawing>
          <wp:anchor distT="0" distB="0" distL="114300" distR="114300" simplePos="0" relativeHeight="251666432" behindDoc="0" locked="0" layoutInCell="1" allowOverlap="1">
            <wp:simplePos x="0" y="0"/>
            <wp:positionH relativeFrom="column">
              <wp:posOffset>3029585</wp:posOffset>
            </wp:positionH>
            <wp:positionV relativeFrom="paragraph">
              <wp:posOffset>130175</wp:posOffset>
            </wp:positionV>
            <wp:extent cx="3076575" cy="2108835"/>
            <wp:effectExtent l="0" t="0" r="9525" b="12065"/>
            <wp:wrapTopAndBottom/>
            <wp:docPr id="141" name="图片 188" descr="QQ截图20130104085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88" descr="QQ截图20130104085835"/>
                    <pic:cNvPicPr>
                      <a:picLocks noChangeAspect="1" noChangeArrowheads="1"/>
                    </pic:cNvPicPr>
                  </pic:nvPicPr>
                  <pic:blipFill>
                    <a:blip r:embed="rId36"/>
                    <a:srcRect/>
                    <a:stretch>
                      <a:fillRect/>
                    </a:stretch>
                  </pic:blipFill>
                  <pic:spPr>
                    <a:xfrm>
                      <a:off x="0" y="0"/>
                      <a:ext cx="3076575" cy="2108835"/>
                    </a:xfrm>
                    <a:prstGeom prst="rect">
                      <a:avLst/>
                    </a:prstGeom>
                    <a:noFill/>
                    <a:ln w="9525">
                      <a:noFill/>
                      <a:miter lim="800000"/>
                      <a:headEnd/>
                      <a:tailEnd/>
                    </a:ln>
                  </pic:spPr>
                </pic:pic>
              </a:graphicData>
            </a:graphic>
          </wp:anchor>
        </w:drawing>
      </w:r>
    </w:p>
    <w:p>
      <w:pPr>
        <w:spacing w:line="360" w:lineRule="auto"/>
        <w:rPr>
          <w:color w:val="auto"/>
          <w:szCs w:val="21"/>
          <w:highlight w:val="none"/>
        </w:rPr>
      </w:pPr>
      <w:r>
        <w:rPr>
          <w:rFonts w:hint="eastAsia"/>
          <w:color w:val="auto"/>
          <w:szCs w:val="21"/>
          <w:highlight w:val="none"/>
        </w:rPr>
        <w:t>基本要求：</w:t>
      </w:r>
    </w:p>
    <w:p>
      <w:pPr>
        <w:spacing w:line="360" w:lineRule="auto"/>
        <w:rPr>
          <w:color w:val="auto"/>
          <w:szCs w:val="21"/>
          <w:highlight w:val="none"/>
        </w:rPr>
      </w:pPr>
      <w:r>
        <w:rPr>
          <w:color w:val="auto"/>
          <w:szCs w:val="21"/>
          <w:highlight w:val="none"/>
        </w:rPr>
        <w:t>2.7.1</w:t>
      </w:r>
      <w:r>
        <w:rPr>
          <w:rFonts w:hint="eastAsia"/>
          <w:color w:val="auto"/>
          <w:szCs w:val="21"/>
          <w:highlight w:val="none"/>
        </w:rPr>
        <w:t>、电梯井、管井口必须设置防护栏杆或固定栅门，电梯井内应每隔两层并最多隔</w:t>
      </w:r>
      <w:r>
        <w:rPr>
          <w:color w:val="auto"/>
          <w:szCs w:val="21"/>
          <w:highlight w:val="none"/>
        </w:rPr>
        <w:t>10m</w:t>
      </w:r>
      <w:r>
        <w:rPr>
          <w:rFonts w:hint="eastAsia"/>
          <w:color w:val="auto"/>
          <w:szCs w:val="21"/>
          <w:highlight w:val="none"/>
        </w:rPr>
        <w:t>设一道水平安全网。</w:t>
      </w:r>
    </w:p>
    <w:p>
      <w:pPr>
        <w:spacing w:line="360" w:lineRule="auto"/>
        <w:rPr>
          <w:color w:val="auto"/>
          <w:szCs w:val="21"/>
          <w:highlight w:val="none"/>
        </w:rPr>
      </w:pPr>
      <w:r>
        <w:rPr>
          <w:color w:val="auto"/>
          <w:szCs w:val="21"/>
          <w:highlight w:val="none"/>
        </w:rPr>
        <w:t>2.7.2</w:t>
      </w:r>
      <w:r>
        <w:rPr>
          <w:rFonts w:hint="eastAsia"/>
          <w:color w:val="auto"/>
          <w:szCs w:val="21"/>
          <w:highlight w:val="none"/>
        </w:rPr>
        <w:t>、电梯井、管井施工，除设置防护设施外，还应加设明显标志警示。如有临时拆除，需经专职管理人员审核批准，工作完毕必须原样恢复。</w:t>
      </w:r>
    </w:p>
    <w:p>
      <w:pPr>
        <w:spacing w:line="360" w:lineRule="auto"/>
        <w:rPr>
          <w:color w:val="auto"/>
          <w:szCs w:val="21"/>
          <w:highlight w:val="none"/>
        </w:rPr>
      </w:pPr>
      <w:r>
        <w:rPr>
          <w:color w:val="auto"/>
          <w:szCs w:val="21"/>
          <w:highlight w:val="none"/>
        </w:rPr>
        <w:t>2.7.3</w:t>
      </w:r>
      <w:r>
        <w:rPr>
          <w:rFonts w:hint="eastAsia"/>
          <w:color w:val="auto"/>
          <w:szCs w:val="21"/>
          <w:highlight w:val="none"/>
        </w:rPr>
        <w:t>、井口防护采用上下翻转防护门。栅门高度</w:t>
      </w:r>
      <w:r>
        <w:rPr>
          <w:color w:val="auto"/>
          <w:szCs w:val="21"/>
          <w:highlight w:val="none"/>
        </w:rPr>
        <w:t>1.20m</w:t>
      </w:r>
      <w:r>
        <w:rPr>
          <w:rFonts w:hint="eastAsia"/>
          <w:color w:val="auto"/>
          <w:szCs w:val="21"/>
          <w:highlight w:val="none"/>
        </w:rPr>
        <w:t>，下部设</w:t>
      </w:r>
      <w:r>
        <w:rPr>
          <w:color w:val="auto"/>
          <w:szCs w:val="21"/>
          <w:highlight w:val="none"/>
        </w:rPr>
        <w:t>20 cm</w:t>
      </w:r>
      <w:r>
        <w:rPr>
          <w:rFonts w:hint="eastAsia"/>
          <w:color w:val="auto"/>
          <w:szCs w:val="21"/>
          <w:highlight w:val="none"/>
        </w:rPr>
        <w:t>踢脚板</w:t>
      </w:r>
      <w:r>
        <w:rPr>
          <w:color w:val="auto"/>
          <w:szCs w:val="21"/>
          <w:highlight w:val="none"/>
        </w:rPr>
        <w:t>,</w:t>
      </w:r>
      <w:r>
        <w:rPr>
          <w:rFonts w:hint="eastAsia"/>
          <w:color w:val="auto"/>
          <w:szCs w:val="21"/>
          <w:highlight w:val="none"/>
        </w:rPr>
        <w:t>紧贴楼地面安装</w:t>
      </w:r>
      <w:r>
        <w:rPr>
          <w:color w:val="auto"/>
          <w:szCs w:val="21"/>
          <w:highlight w:val="none"/>
        </w:rPr>
        <w:t>.</w:t>
      </w:r>
      <w:r>
        <w:rPr>
          <w:rFonts w:hint="eastAsia"/>
          <w:color w:val="auto"/>
          <w:szCs w:val="21"/>
          <w:highlight w:val="none"/>
        </w:rPr>
        <w:t>，栅门两侧边超出电梯井口边不得小于</w:t>
      </w:r>
      <w:r>
        <w:rPr>
          <w:color w:val="auto"/>
          <w:szCs w:val="21"/>
          <w:highlight w:val="none"/>
        </w:rPr>
        <w:t>10cm</w:t>
      </w:r>
      <w:r>
        <w:rPr>
          <w:rFonts w:hint="eastAsia"/>
          <w:color w:val="auto"/>
          <w:szCs w:val="21"/>
          <w:highlight w:val="none"/>
        </w:rPr>
        <w:t>，上端固定，门栅间距不大于</w:t>
      </w:r>
      <w:r>
        <w:rPr>
          <w:color w:val="auto"/>
          <w:szCs w:val="21"/>
          <w:highlight w:val="none"/>
        </w:rPr>
        <w:t>15cm</w:t>
      </w:r>
      <w:r>
        <w:rPr>
          <w:rFonts w:hint="eastAsia"/>
          <w:color w:val="auto"/>
          <w:szCs w:val="21"/>
          <w:highlight w:val="none"/>
        </w:rPr>
        <w:t>。使用钢筋不得小于</w:t>
      </w:r>
      <w:r>
        <w:rPr>
          <w:color w:val="auto"/>
          <w:szCs w:val="21"/>
          <w:highlight w:val="none"/>
        </w:rPr>
        <w:t>Φ14mm</w:t>
      </w:r>
      <w:r>
        <w:rPr>
          <w:rFonts w:hint="eastAsia"/>
          <w:color w:val="auto"/>
          <w:szCs w:val="21"/>
          <w:highlight w:val="none"/>
        </w:rPr>
        <w:t>。</w:t>
      </w:r>
    </w:p>
    <w:p>
      <w:pPr>
        <w:spacing w:line="360" w:lineRule="auto"/>
        <w:rPr>
          <w:color w:val="auto"/>
          <w:szCs w:val="21"/>
          <w:highlight w:val="none"/>
        </w:rPr>
      </w:pPr>
      <w:r>
        <w:rPr>
          <w:color w:val="auto"/>
          <w:szCs w:val="21"/>
          <w:highlight w:val="none"/>
        </w:rPr>
        <w:t>2.7.4</w:t>
      </w:r>
      <w:r>
        <w:rPr>
          <w:rFonts w:hint="eastAsia"/>
          <w:color w:val="auto"/>
          <w:szCs w:val="21"/>
          <w:highlight w:val="none"/>
        </w:rPr>
        <w:t>、井道内的水平网，应张挂于预插在井壁的钢管上，网与井壁的间隙不应大于</w:t>
      </w:r>
      <w:r>
        <w:rPr>
          <w:color w:val="auto"/>
          <w:szCs w:val="21"/>
          <w:highlight w:val="none"/>
        </w:rPr>
        <w:t>10 cm</w:t>
      </w:r>
      <w:r>
        <w:rPr>
          <w:rFonts w:hint="eastAsia"/>
          <w:color w:val="auto"/>
          <w:szCs w:val="21"/>
          <w:highlight w:val="none"/>
        </w:rPr>
        <w:t>，施工层的下一层设置一道硬质隔断以防物件掉落，施工层以及其它层统一采用安全网防护。</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229225" cy="4095750"/>
            <wp:effectExtent l="0" t="0" r="0" b="0"/>
            <wp:docPr id="143" name="图片 12" descr="8-9  电梯井防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2" descr="8-9  电梯井防护"/>
                    <pic:cNvPicPr>
                      <a:picLocks noChangeAspect="1" noChangeArrowheads="1"/>
                    </pic:cNvPicPr>
                  </pic:nvPicPr>
                  <pic:blipFill>
                    <a:blip r:embed="rId37"/>
                    <a:srcRect l="21587" t="11656" r="39110" b="26622"/>
                    <a:stretch>
                      <a:fillRect/>
                    </a:stretch>
                  </pic:blipFill>
                  <pic:spPr>
                    <a:xfrm>
                      <a:off x="0" y="0"/>
                      <a:ext cx="5229225" cy="409575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指导性标准做法</w:t>
      </w:r>
    </w:p>
    <w:p>
      <w:pPr>
        <w:spacing w:line="360" w:lineRule="auto"/>
        <w:rPr>
          <w:color w:val="auto"/>
          <w:szCs w:val="21"/>
          <w:highlight w:val="none"/>
        </w:rPr>
      </w:pPr>
      <w:r>
        <w:rPr>
          <w:rFonts w:ascii="仿宋" w:hAnsi="仿宋" w:eastAsia="仿宋"/>
          <w:b/>
          <w:color w:val="auto"/>
          <w:highlight w:val="none"/>
        </w:rPr>
        <w:drawing>
          <wp:anchor distT="0" distB="0" distL="114300" distR="114300" simplePos="0" relativeHeight="251668480" behindDoc="0" locked="0" layoutInCell="1" allowOverlap="1">
            <wp:simplePos x="0" y="0"/>
            <wp:positionH relativeFrom="column">
              <wp:posOffset>2987040</wp:posOffset>
            </wp:positionH>
            <wp:positionV relativeFrom="paragraph">
              <wp:posOffset>106045</wp:posOffset>
            </wp:positionV>
            <wp:extent cx="2882265" cy="2518410"/>
            <wp:effectExtent l="0" t="0" r="635" b="8890"/>
            <wp:wrapSquare wrapText="bothSides"/>
            <wp:docPr id="144" name="图片 187" descr="QQ截图2013010409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87" descr="QQ截图20130104090051"/>
                    <pic:cNvPicPr>
                      <a:picLocks noChangeAspect="1" noChangeArrowheads="1"/>
                    </pic:cNvPicPr>
                  </pic:nvPicPr>
                  <pic:blipFill>
                    <a:blip r:embed="rId38"/>
                    <a:srcRect/>
                    <a:stretch>
                      <a:fillRect/>
                    </a:stretch>
                  </pic:blipFill>
                  <pic:spPr>
                    <a:xfrm>
                      <a:off x="0" y="0"/>
                      <a:ext cx="2882265" cy="2518410"/>
                    </a:xfrm>
                    <a:prstGeom prst="rect">
                      <a:avLst/>
                    </a:prstGeom>
                    <a:noFill/>
                    <a:ln w="9525">
                      <a:noFill/>
                      <a:miter lim="800000"/>
                      <a:headEnd/>
                      <a:tailEnd/>
                    </a:ln>
                  </pic:spPr>
                </pic:pic>
              </a:graphicData>
            </a:graphic>
          </wp:anchor>
        </w:drawing>
      </w:r>
      <w:r>
        <w:rPr>
          <w:rFonts w:ascii="仿宋" w:hAnsi="仿宋" w:eastAsia="仿宋"/>
          <w:color w:val="auto"/>
          <w:highlight w:val="none"/>
        </w:rPr>
        <w:drawing>
          <wp:anchor distT="0" distB="0" distL="114300" distR="114300" simplePos="0" relativeHeight="251667456" behindDoc="0" locked="0" layoutInCell="1" allowOverlap="1">
            <wp:simplePos x="0" y="0"/>
            <wp:positionH relativeFrom="column">
              <wp:posOffset>329565</wp:posOffset>
            </wp:positionH>
            <wp:positionV relativeFrom="paragraph">
              <wp:posOffset>166370</wp:posOffset>
            </wp:positionV>
            <wp:extent cx="2540000" cy="2284095"/>
            <wp:effectExtent l="0" t="0" r="0" b="1905"/>
            <wp:wrapSquare wrapText="bothSides"/>
            <wp:docPr id="145" name="图片 186" descr="QQ截图2013010409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86" descr="QQ截图20130104090112"/>
                    <pic:cNvPicPr>
                      <a:picLocks noChangeAspect="1" noChangeArrowheads="1"/>
                    </pic:cNvPicPr>
                  </pic:nvPicPr>
                  <pic:blipFill>
                    <a:blip r:embed="rId39"/>
                    <a:srcRect/>
                    <a:stretch>
                      <a:fillRect/>
                    </a:stretch>
                  </pic:blipFill>
                  <pic:spPr>
                    <a:xfrm>
                      <a:off x="0" y="0"/>
                      <a:ext cx="2540000" cy="2284095"/>
                    </a:xfrm>
                    <a:prstGeom prst="rect">
                      <a:avLst/>
                    </a:prstGeom>
                    <a:noFill/>
                    <a:ln w="9525">
                      <a:noFill/>
                      <a:miter lim="800000"/>
                      <a:headEnd/>
                      <a:tailEnd/>
                    </a:ln>
                  </pic:spPr>
                </pic:pic>
              </a:graphicData>
            </a:graphic>
          </wp:anchor>
        </w:drawing>
      </w:r>
      <w:r>
        <w:rPr>
          <w:color w:val="auto"/>
          <w:szCs w:val="21"/>
          <w:highlight w:val="none"/>
        </w:rPr>
        <w:t>19.3</w:t>
      </w:r>
      <w:r>
        <w:rPr>
          <w:rFonts w:hint="eastAsia"/>
          <w:b/>
          <w:color w:val="auto"/>
          <w:szCs w:val="21"/>
          <w:highlight w:val="none"/>
        </w:rPr>
        <w:t>防护门</w:t>
      </w:r>
    </w:p>
    <w:p>
      <w:pPr>
        <w:spacing w:line="360" w:lineRule="auto"/>
        <w:rPr>
          <w:color w:val="auto"/>
          <w:szCs w:val="21"/>
          <w:highlight w:val="none"/>
        </w:rPr>
      </w:pPr>
      <w:r>
        <w:rPr>
          <w:color w:val="auto"/>
          <w:szCs w:val="21"/>
          <w:highlight w:val="none"/>
        </w:rPr>
        <w:t>19.3.1</w:t>
      </w:r>
      <w:r>
        <w:rPr>
          <w:rFonts w:hint="eastAsia"/>
          <w:color w:val="auto"/>
          <w:szCs w:val="21"/>
          <w:highlight w:val="none"/>
        </w:rPr>
        <w:t>、</w:t>
      </w:r>
    </w:p>
    <w:p>
      <w:pPr>
        <w:spacing w:line="360" w:lineRule="auto"/>
        <w:rPr>
          <w:color w:val="auto"/>
          <w:szCs w:val="21"/>
          <w:highlight w:val="none"/>
        </w:rPr>
      </w:pPr>
      <w:r>
        <w:rPr>
          <w:rFonts w:hint="eastAsia"/>
          <w:color w:val="auto"/>
          <w:szCs w:val="21"/>
          <w:highlight w:val="none"/>
        </w:rPr>
        <w:t>施工电梯楼层出入口</w:t>
      </w:r>
    </w:p>
    <w:p>
      <w:pPr>
        <w:spacing w:line="360" w:lineRule="auto"/>
        <w:rPr>
          <w:color w:val="auto"/>
          <w:szCs w:val="21"/>
          <w:highlight w:val="none"/>
        </w:rPr>
      </w:pPr>
      <w:r>
        <w:rPr>
          <w:rFonts w:hint="eastAsia"/>
          <w:color w:val="auto"/>
          <w:szCs w:val="21"/>
          <w:highlight w:val="none"/>
        </w:rPr>
        <w:t>施工电梯各楼层的出入口应设置常闭的防护门，防护门定型制作如下图，其强度应能承受</w:t>
      </w:r>
      <w:r>
        <w:rPr>
          <w:color w:val="auto"/>
          <w:szCs w:val="21"/>
          <w:highlight w:val="none"/>
        </w:rPr>
        <w:t>1KN/</w:t>
      </w:r>
      <w:r>
        <w:rPr>
          <w:rFonts w:hint="eastAsia"/>
          <w:color w:val="auto"/>
          <w:szCs w:val="21"/>
          <w:highlight w:val="none"/>
        </w:rPr>
        <w:t>㎡水平荷载。</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6200775" cy="3162300"/>
            <wp:effectExtent l="0" t="0" r="0" b="0"/>
            <wp:docPr id="146" name="图片 11" descr="10  电梯防护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 descr="10  电梯防护门"/>
                    <pic:cNvPicPr>
                      <a:picLocks noChangeAspect="1" noChangeArrowheads="1"/>
                    </pic:cNvPicPr>
                  </pic:nvPicPr>
                  <pic:blipFill>
                    <a:blip r:embed="rId40"/>
                    <a:srcRect l="17683" t="11708" r="25369" b="39603"/>
                    <a:stretch>
                      <a:fillRect/>
                    </a:stretch>
                  </pic:blipFill>
                  <pic:spPr>
                    <a:xfrm>
                      <a:off x="0" y="0"/>
                      <a:ext cx="6200775" cy="316230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color w:val="auto"/>
          <w:szCs w:val="21"/>
          <w:highlight w:val="none"/>
        </w:rPr>
        <w:t>2.7.5</w:t>
      </w:r>
      <w:r>
        <w:rPr>
          <w:rFonts w:hint="eastAsia"/>
          <w:color w:val="auto"/>
          <w:szCs w:val="21"/>
          <w:highlight w:val="none"/>
        </w:rPr>
        <w:t>、物料提升机楼层出入口</w:t>
      </w:r>
    </w:p>
    <w:p>
      <w:pPr>
        <w:spacing w:line="360" w:lineRule="auto"/>
        <w:rPr>
          <w:color w:val="auto"/>
          <w:szCs w:val="21"/>
          <w:highlight w:val="none"/>
        </w:rPr>
      </w:pPr>
      <w:r>
        <w:rPr>
          <w:rFonts w:hint="eastAsia"/>
          <w:color w:val="auto"/>
          <w:szCs w:val="21"/>
          <w:highlight w:val="none"/>
        </w:rPr>
        <w:t>物料提升机各楼层出入口应设置常闭的防护门，防护门宜采用电气连锁装置，只有当各楼层防护门关闭完好时，吊笼方可运行。防护门定型制作如下图，其强度应能承受</w:t>
      </w:r>
      <w:r>
        <w:rPr>
          <w:color w:val="auto"/>
          <w:szCs w:val="21"/>
          <w:highlight w:val="none"/>
        </w:rPr>
        <w:t>1KN/</w:t>
      </w:r>
      <w:r>
        <w:rPr>
          <w:rFonts w:hint="eastAsia"/>
          <w:color w:val="auto"/>
          <w:szCs w:val="21"/>
          <w:highlight w:val="none"/>
        </w:rPr>
        <w:t>㎡水平荷载。</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943600" cy="2838450"/>
            <wp:effectExtent l="0" t="0" r="0" b="0"/>
            <wp:docPr id="147" name="图片 10" descr="11  物料提升机防护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0" descr="11  物料提升机防护门"/>
                    <pic:cNvPicPr>
                      <a:picLocks noChangeAspect="1" noChangeArrowheads="1"/>
                    </pic:cNvPicPr>
                  </pic:nvPicPr>
                  <pic:blipFill>
                    <a:blip r:embed="rId41"/>
                    <a:srcRect l="21664" t="27060" r="19475" b="21179"/>
                    <a:stretch>
                      <a:fillRect/>
                    </a:stretch>
                  </pic:blipFill>
                  <pic:spPr>
                    <a:xfrm>
                      <a:off x="0" y="0"/>
                      <a:ext cx="5943600" cy="283845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ascii="仿宋" w:hAnsi="仿宋" w:eastAsia="仿宋"/>
          <w:color w:val="auto"/>
          <w:highlight w:val="none"/>
        </w:rPr>
        <w:drawing>
          <wp:anchor distT="0" distB="0" distL="114300" distR="114300" simplePos="0" relativeHeight="251669504" behindDoc="0" locked="0" layoutInCell="1" allowOverlap="1">
            <wp:simplePos x="0" y="0"/>
            <wp:positionH relativeFrom="column">
              <wp:posOffset>281305</wp:posOffset>
            </wp:positionH>
            <wp:positionV relativeFrom="paragraph">
              <wp:posOffset>267970</wp:posOffset>
            </wp:positionV>
            <wp:extent cx="2409190" cy="1809750"/>
            <wp:effectExtent l="0" t="0" r="3810" b="6350"/>
            <wp:wrapTopAndBottom/>
            <wp:docPr id="174" name="图片 185" descr="QQ截图2013010409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85" descr="QQ截图20130104090126"/>
                    <pic:cNvPicPr>
                      <a:picLocks noChangeAspect="1" noChangeArrowheads="1"/>
                    </pic:cNvPicPr>
                  </pic:nvPicPr>
                  <pic:blipFill>
                    <a:blip r:embed="rId42"/>
                    <a:srcRect/>
                    <a:stretch>
                      <a:fillRect/>
                    </a:stretch>
                  </pic:blipFill>
                  <pic:spPr>
                    <a:xfrm>
                      <a:off x="0" y="0"/>
                      <a:ext cx="2409190" cy="1809750"/>
                    </a:xfrm>
                    <a:prstGeom prst="rect">
                      <a:avLst/>
                    </a:prstGeom>
                    <a:noFill/>
                    <a:ln w="9525">
                      <a:noFill/>
                      <a:miter lim="800000"/>
                      <a:headEnd/>
                      <a:tailEnd/>
                    </a:ln>
                  </pic:spPr>
                </pic:pic>
              </a:graphicData>
            </a:graphic>
          </wp:anchor>
        </w:drawing>
      </w:r>
      <w:r>
        <w:rPr>
          <w:rFonts w:hint="eastAsia"/>
          <w:color w:val="auto"/>
          <w:szCs w:val="21"/>
          <w:highlight w:val="none"/>
        </w:rPr>
        <w:t>指导性标准做法</w:t>
      </w:r>
    </w:p>
    <w:p>
      <w:pPr>
        <w:spacing w:line="360" w:lineRule="auto"/>
        <w:rPr>
          <w:b/>
          <w:color w:val="auto"/>
          <w:szCs w:val="21"/>
          <w:highlight w:val="none"/>
        </w:rPr>
      </w:pPr>
      <w:r>
        <w:rPr>
          <w:b/>
          <w:color w:val="auto"/>
          <w:szCs w:val="21"/>
          <w:highlight w:val="none"/>
        </w:rPr>
        <w:t>3</w:t>
      </w:r>
      <w:r>
        <w:rPr>
          <w:rFonts w:hint="eastAsia"/>
          <w:b/>
          <w:color w:val="auto"/>
          <w:szCs w:val="21"/>
          <w:highlight w:val="none"/>
        </w:rPr>
        <w:t>、安全通道</w:t>
      </w:r>
    </w:p>
    <w:p>
      <w:pPr>
        <w:spacing w:line="360" w:lineRule="auto"/>
        <w:rPr>
          <w:color w:val="auto"/>
          <w:szCs w:val="21"/>
          <w:highlight w:val="none"/>
        </w:rPr>
      </w:pPr>
      <w:r>
        <w:rPr>
          <w:rFonts w:hint="eastAsia"/>
          <w:color w:val="auto"/>
          <w:szCs w:val="21"/>
          <w:highlight w:val="none"/>
        </w:rPr>
        <w:t>应用范围：</w:t>
      </w:r>
    </w:p>
    <w:p>
      <w:pPr>
        <w:spacing w:line="360" w:lineRule="auto"/>
        <w:rPr>
          <w:color w:val="auto"/>
          <w:szCs w:val="21"/>
          <w:highlight w:val="none"/>
        </w:rPr>
      </w:pPr>
      <w:r>
        <w:rPr>
          <w:rFonts w:hint="eastAsia"/>
          <w:color w:val="auto"/>
          <w:szCs w:val="21"/>
          <w:highlight w:val="none"/>
        </w:rPr>
        <w:t>当通道根据高处作业分级</w:t>
      </w:r>
      <w:r>
        <w:rPr>
          <w:color w:val="auto"/>
          <w:szCs w:val="21"/>
          <w:highlight w:val="none"/>
        </w:rPr>
        <w:t>GB/T 3608-2008</w:t>
      </w:r>
      <w:r>
        <w:rPr>
          <w:rFonts w:hint="eastAsia"/>
          <w:color w:val="auto"/>
          <w:szCs w:val="21"/>
          <w:highlight w:val="none"/>
        </w:rPr>
        <w:t>处于坠落半径内或处于起重机把杆回转范围内时，均应采取防护措施，以避免发生物体打击事故，包括临街通道、场内通道、出入建筑物通道、施工电梯及物料提升机地面进料口通道。</w:t>
      </w:r>
    </w:p>
    <w:p>
      <w:pPr>
        <w:spacing w:line="360" w:lineRule="auto"/>
        <w:rPr>
          <w:color w:val="auto"/>
          <w:szCs w:val="21"/>
          <w:highlight w:val="none"/>
        </w:rPr>
      </w:pPr>
      <w:r>
        <w:rPr>
          <w:rFonts w:hint="eastAsia"/>
          <w:color w:val="auto"/>
          <w:szCs w:val="21"/>
          <w:highlight w:val="none"/>
        </w:rPr>
        <w:t>基本要求：</w:t>
      </w:r>
    </w:p>
    <w:p>
      <w:pPr>
        <w:spacing w:line="360" w:lineRule="auto"/>
        <w:rPr>
          <w:color w:val="auto"/>
          <w:szCs w:val="21"/>
          <w:highlight w:val="none"/>
        </w:rPr>
      </w:pPr>
      <w:r>
        <w:rPr>
          <w:color w:val="auto"/>
          <w:szCs w:val="21"/>
          <w:highlight w:val="none"/>
        </w:rPr>
        <w:t>3.1</w:t>
      </w:r>
      <w:r>
        <w:rPr>
          <w:rFonts w:hint="eastAsia"/>
          <w:color w:val="auto"/>
          <w:szCs w:val="21"/>
          <w:highlight w:val="none"/>
        </w:rPr>
        <w:t>、应采用钢管扣件搭设支架，顶部设置硬质防护，整体应能承受</w:t>
      </w:r>
      <w:r>
        <w:rPr>
          <w:color w:val="auto"/>
          <w:szCs w:val="21"/>
          <w:highlight w:val="none"/>
        </w:rPr>
        <w:t>10kPa</w:t>
      </w:r>
      <w:r>
        <w:rPr>
          <w:rFonts w:hint="eastAsia"/>
          <w:color w:val="auto"/>
          <w:szCs w:val="21"/>
          <w:highlight w:val="none"/>
        </w:rPr>
        <w:t>的均布静荷载。可采用</w:t>
      </w:r>
      <w:r>
        <w:rPr>
          <w:color w:val="auto"/>
          <w:szCs w:val="21"/>
          <w:highlight w:val="none"/>
        </w:rPr>
        <w:t>50mm</w:t>
      </w:r>
      <w:r>
        <w:rPr>
          <w:rFonts w:hint="eastAsia"/>
          <w:color w:val="auto"/>
          <w:szCs w:val="21"/>
          <w:highlight w:val="none"/>
        </w:rPr>
        <w:t>厚木板架设或采用双层脚手板，上下两层脚手板间距</w:t>
      </w:r>
      <w:r>
        <w:rPr>
          <w:color w:val="auto"/>
          <w:szCs w:val="21"/>
          <w:highlight w:val="none"/>
        </w:rPr>
        <w:t>600mm</w:t>
      </w:r>
      <w:r>
        <w:rPr>
          <w:rFonts w:hint="eastAsia"/>
          <w:color w:val="auto"/>
          <w:szCs w:val="21"/>
          <w:highlight w:val="none"/>
        </w:rPr>
        <w:t>。</w:t>
      </w:r>
    </w:p>
    <w:p>
      <w:pPr>
        <w:spacing w:line="360" w:lineRule="auto"/>
        <w:rPr>
          <w:color w:val="auto"/>
          <w:szCs w:val="21"/>
          <w:highlight w:val="none"/>
        </w:rPr>
      </w:pPr>
      <w:r>
        <w:rPr>
          <w:color w:val="auto"/>
          <w:szCs w:val="21"/>
          <w:highlight w:val="none"/>
        </w:rPr>
        <w:t>3.2</w:t>
      </w:r>
      <w:r>
        <w:rPr>
          <w:rFonts w:hint="eastAsia"/>
          <w:color w:val="auto"/>
          <w:szCs w:val="21"/>
          <w:highlight w:val="none"/>
        </w:rPr>
        <w:t>、安全通道侧边应设置隔离栏杆，引导行人从安全通道内通过；防护棚顶周边应设置封闭式的防护墙，避免坠落其上的物件飞溅滚落伤人。</w:t>
      </w:r>
    </w:p>
    <w:p>
      <w:pPr>
        <w:spacing w:line="360" w:lineRule="auto"/>
        <w:rPr>
          <w:color w:val="auto"/>
          <w:szCs w:val="21"/>
          <w:highlight w:val="none"/>
        </w:rPr>
      </w:pPr>
      <w:r>
        <w:rPr>
          <w:color w:val="auto"/>
          <w:szCs w:val="21"/>
          <w:highlight w:val="none"/>
        </w:rPr>
        <w:t>3.3</w:t>
      </w:r>
      <w:r>
        <w:rPr>
          <w:rFonts w:hint="eastAsia"/>
          <w:color w:val="auto"/>
          <w:szCs w:val="21"/>
          <w:highlight w:val="none"/>
        </w:rPr>
        <w:t>、现场安全通道</w:t>
      </w:r>
    </w:p>
    <w:p>
      <w:pPr>
        <w:spacing w:line="360" w:lineRule="auto"/>
        <w:rPr>
          <w:color w:val="auto"/>
          <w:szCs w:val="21"/>
          <w:highlight w:val="none"/>
        </w:rPr>
      </w:pPr>
      <w:r>
        <w:rPr>
          <w:rFonts w:hint="eastAsia"/>
          <w:color w:val="auto"/>
          <w:szCs w:val="21"/>
          <w:highlight w:val="none"/>
        </w:rPr>
        <w:t>场区内的安全通道</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4800600" cy="2847975"/>
            <wp:effectExtent l="0" t="0" r="0" b="0"/>
            <wp:docPr id="175" name="图片 9" descr="13  安全通道--现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9" descr="13  安全通道--现场"/>
                    <pic:cNvPicPr>
                      <a:picLocks noChangeAspect="1" noChangeArrowheads="1"/>
                    </pic:cNvPicPr>
                  </pic:nvPicPr>
                  <pic:blipFill>
                    <a:blip r:embed="rId43"/>
                    <a:srcRect/>
                    <a:stretch>
                      <a:fillRect/>
                    </a:stretch>
                  </pic:blipFill>
                  <pic:spPr>
                    <a:xfrm>
                      <a:off x="0" y="0"/>
                      <a:ext cx="4800600" cy="2847975"/>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②通入建筑物的安全通道</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4391025" cy="2619375"/>
            <wp:effectExtent l="0" t="0" r="0" b="0"/>
            <wp:docPr id="176" name="图片 8" descr="14   安全通道--通入建筑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8" descr="14   安全通道--通入建筑物"/>
                    <pic:cNvPicPr>
                      <a:picLocks noChangeAspect="1" noChangeArrowheads="1"/>
                    </pic:cNvPicPr>
                  </pic:nvPicPr>
                  <pic:blipFill>
                    <a:blip r:embed="rId44"/>
                    <a:srcRect/>
                    <a:stretch>
                      <a:fillRect/>
                    </a:stretch>
                  </pic:blipFill>
                  <pic:spPr>
                    <a:xfrm>
                      <a:off x="0" y="0"/>
                      <a:ext cx="4391025" cy="2619375"/>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color w:val="auto"/>
          <w:szCs w:val="21"/>
          <w:highlight w:val="none"/>
        </w:rPr>
        <w:t>3.4</w:t>
      </w:r>
      <w:r>
        <w:rPr>
          <w:rFonts w:hint="eastAsia"/>
          <w:color w:val="auto"/>
          <w:szCs w:val="21"/>
          <w:highlight w:val="none"/>
        </w:rPr>
        <w:t>、施工电梯、物料提升机地面进料口的安全通道</w:t>
      </w:r>
    </w:p>
    <w:p>
      <w:pPr>
        <w:spacing w:line="360" w:lineRule="auto"/>
        <w:rPr>
          <w:color w:val="auto"/>
          <w:szCs w:val="21"/>
          <w:highlight w:val="none"/>
        </w:rPr>
      </w:pPr>
      <w:r>
        <w:rPr>
          <w:rFonts w:hint="eastAsia"/>
          <w:color w:val="auto"/>
          <w:szCs w:val="21"/>
          <w:highlight w:val="none"/>
        </w:rPr>
        <w:t>防护棚应设在施工电梯、物料提升机架体地面进料口上方。其宽度应略大于提升机的最外部尺寸；长度：低架提升机应大于</w:t>
      </w:r>
      <w:r>
        <w:rPr>
          <w:color w:val="auto"/>
          <w:szCs w:val="21"/>
          <w:highlight w:val="none"/>
        </w:rPr>
        <w:t>3</w:t>
      </w:r>
      <w:r>
        <w:rPr>
          <w:rFonts w:hint="eastAsia"/>
          <w:color w:val="auto"/>
          <w:szCs w:val="21"/>
          <w:highlight w:val="none"/>
        </w:rPr>
        <w:t>米，高架提升机应大于</w:t>
      </w:r>
      <w:r>
        <w:rPr>
          <w:color w:val="auto"/>
          <w:szCs w:val="21"/>
          <w:highlight w:val="none"/>
        </w:rPr>
        <w:t>5</w:t>
      </w:r>
      <w:r>
        <w:rPr>
          <w:rFonts w:hint="eastAsia"/>
          <w:color w:val="auto"/>
          <w:szCs w:val="21"/>
          <w:highlight w:val="none"/>
        </w:rPr>
        <w:t>米。</w:t>
      </w:r>
    </w:p>
    <w:p>
      <w:pPr>
        <w:spacing w:line="360" w:lineRule="auto"/>
        <w:rPr>
          <w:color w:val="auto"/>
          <w:szCs w:val="21"/>
          <w:highlight w:val="none"/>
        </w:rPr>
      </w:pPr>
    </w:p>
    <w:p>
      <w:pPr>
        <w:spacing w:line="360" w:lineRule="auto"/>
        <w:rPr>
          <w:color w:val="auto"/>
          <w:szCs w:val="21"/>
          <w:highlight w:val="none"/>
        </w:rPr>
      </w:pPr>
      <w:r>
        <w:rPr>
          <w:rFonts w:hint="eastAsia"/>
          <w:color w:val="auto"/>
          <w:szCs w:val="21"/>
          <w:highlight w:val="none"/>
        </w:rPr>
        <w:t>指导性标准做法</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2819400" cy="1962150"/>
            <wp:effectExtent l="0" t="0" r="0" b="6350"/>
            <wp:docPr id="177" name="图片 7" descr="QQ截图20130104090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7" descr="QQ截图20130104090322"/>
                    <pic:cNvPicPr>
                      <a:picLocks noChangeAspect="1" noChangeArrowheads="1"/>
                    </pic:cNvPicPr>
                  </pic:nvPicPr>
                  <pic:blipFill>
                    <a:blip r:embed="rId45"/>
                    <a:srcRect/>
                    <a:stretch>
                      <a:fillRect/>
                    </a:stretch>
                  </pic:blipFill>
                  <pic:spPr>
                    <a:xfrm>
                      <a:off x="0" y="0"/>
                      <a:ext cx="2819400" cy="1962150"/>
                    </a:xfrm>
                    <a:prstGeom prst="rect">
                      <a:avLst/>
                    </a:prstGeom>
                    <a:noFill/>
                    <a:ln w="9525">
                      <a:noFill/>
                      <a:miter lim="800000"/>
                      <a:headEnd/>
                      <a:tailEnd/>
                    </a:ln>
                  </pic:spPr>
                </pic:pic>
              </a:graphicData>
            </a:graphic>
          </wp:inline>
        </w:drawing>
      </w:r>
    </w:p>
    <w:p>
      <w:pPr>
        <w:spacing w:line="360" w:lineRule="auto"/>
        <w:rPr>
          <w:b/>
          <w:color w:val="auto"/>
          <w:szCs w:val="21"/>
          <w:highlight w:val="none"/>
        </w:rPr>
      </w:pPr>
      <w:r>
        <w:rPr>
          <w:b/>
          <w:color w:val="auto"/>
          <w:szCs w:val="21"/>
          <w:highlight w:val="none"/>
        </w:rPr>
        <w:t>4</w:t>
      </w:r>
      <w:r>
        <w:rPr>
          <w:rFonts w:hint="eastAsia"/>
          <w:b/>
          <w:color w:val="auto"/>
          <w:szCs w:val="21"/>
          <w:highlight w:val="none"/>
        </w:rPr>
        <w:t>、作业区防护棚</w:t>
      </w:r>
    </w:p>
    <w:p>
      <w:pPr>
        <w:spacing w:line="360" w:lineRule="auto"/>
        <w:rPr>
          <w:color w:val="auto"/>
          <w:szCs w:val="21"/>
          <w:highlight w:val="none"/>
        </w:rPr>
      </w:pPr>
      <w:r>
        <w:rPr>
          <w:rFonts w:hint="eastAsia"/>
          <w:color w:val="auto"/>
          <w:szCs w:val="21"/>
          <w:highlight w:val="none"/>
        </w:rPr>
        <w:t>由于上方施工可能坠落物件或处于起重机臂杆回转范围之内的作业点，必须搭设顶部能防止穿透的防护棚，其搭设示意图见下图。</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934075" cy="2514600"/>
            <wp:effectExtent l="0" t="0" r="0" b="0"/>
            <wp:docPr id="178" name="图片 5" descr="15  防护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5" descr="15  防护棚"/>
                    <pic:cNvPicPr>
                      <a:picLocks noChangeAspect="1" noChangeArrowheads="1"/>
                    </pic:cNvPicPr>
                  </pic:nvPicPr>
                  <pic:blipFill>
                    <a:blip r:embed="rId46"/>
                    <a:srcRect l="21587" t="15518" r="15532" b="38416"/>
                    <a:stretch>
                      <a:fillRect/>
                    </a:stretch>
                  </pic:blipFill>
                  <pic:spPr>
                    <a:xfrm>
                      <a:off x="0" y="0"/>
                      <a:ext cx="5934075" cy="251460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指导性标准做法</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2607310" cy="1522730"/>
            <wp:effectExtent l="0" t="0" r="8890" b="1270"/>
            <wp:docPr id="179" name="图片 4" descr="QQ截图20130104090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4" descr="QQ截图20130104090307"/>
                    <pic:cNvPicPr>
                      <a:picLocks noChangeAspect="1" noChangeArrowheads="1"/>
                    </pic:cNvPicPr>
                  </pic:nvPicPr>
                  <pic:blipFill>
                    <a:blip r:embed="rId47"/>
                    <a:srcRect/>
                    <a:stretch>
                      <a:fillRect/>
                    </a:stretch>
                  </pic:blipFill>
                  <pic:spPr>
                    <a:xfrm>
                      <a:off x="0" y="0"/>
                      <a:ext cx="2607310" cy="1522730"/>
                    </a:xfrm>
                    <a:prstGeom prst="rect">
                      <a:avLst/>
                    </a:prstGeom>
                    <a:noFill/>
                    <a:ln w="9525">
                      <a:noFill/>
                      <a:miter lim="800000"/>
                      <a:headEnd/>
                      <a:tailEnd/>
                    </a:ln>
                  </pic:spPr>
                </pic:pic>
              </a:graphicData>
            </a:graphic>
          </wp:inline>
        </w:drawing>
      </w:r>
    </w:p>
    <w:p>
      <w:pPr>
        <w:spacing w:line="360" w:lineRule="auto"/>
        <w:rPr>
          <w:b/>
          <w:color w:val="auto"/>
          <w:szCs w:val="21"/>
          <w:highlight w:val="none"/>
        </w:rPr>
      </w:pPr>
    </w:p>
    <w:p>
      <w:pPr>
        <w:spacing w:line="360" w:lineRule="auto"/>
        <w:rPr>
          <w:b/>
          <w:color w:val="auto"/>
          <w:szCs w:val="21"/>
          <w:highlight w:val="none"/>
        </w:rPr>
      </w:pPr>
    </w:p>
    <w:p>
      <w:pPr>
        <w:spacing w:line="360" w:lineRule="auto"/>
        <w:rPr>
          <w:b/>
          <w:color w:val="auto"/>
          <w:szCs w:val="21"/>
          <w:highlight w:val="none"/>
        </w:rPr>
      </w:pPr>
      <w:r>
        <w:rPr>
          <w:b/>
          <w:color w:val="auto"/>
          <w:szCs w:val="21"/>
          <w:highlight w:val="none"/>
        </w:rPr>
        <w:t>5</w:t>
      </w:r>
      <w:r>
        <w:rPr>
          <w:rFonts w:hint="eastAsia"/>
          <w:b/>
          <w:color w:val="auto"/>
          <w:szCs w:val="21"/>
          <w:highlight w:val="none"/>
        </w:rPr>
        <w:t>、卸料平台</w:t>
      </w:r>
    </w:p>
    <w:p>
      <w:pPr>
        <w:spacing w:line="360" w:lineRule="auto"/>
        <w:rPr>
          <w:color w:val="auto"/>
          <w:szCs w:val="21"/>
          <w:highlight w:val="none"/>
        </w:rPr>
      </w:pPr>
      <w:r>
        <w:rPr>
          <w:color w:val="auto"/>
          <w:szCs w:val="21"/>
          <w:highlight w:val="none"/>
        </w:rPr>
        <w:t>5.1</w:t>
      </w:r>
      <w:r>
        <w:rPr>
          <w:rFonts w:hint="eastAsia"/>
          <w:color w:val="auto"/>
          <w:szCs w:val="21"/>
          <w:highlight w:val="none"/>
        </w:rPr>
        <w:t>、目的与应用：</w:t>
      </w:r>
    </w:p>
    <w:p>
      <w:pPr>
        <w:spacing w:line="360" w:lineRule="auto"/>
        <w:ind w:firstLine="420" w:firstLineChars="200"/>
        <w:rPr>
          <w:color w:val="auto"/>
          <w:szCs w:val="21"/>
          <w:highlight w:val="none"/>
        </w:rPr>
      </w:pPr>
      <w:r>
        <w:rPr>
          <w:rFonts w:hint="eastAsia"/>
          <w:color w:val="auto"/>
          <w:szCs w:val="21"/>
          <w:highlight w:val="none"/>
        </w:rPr>
        <w:t>采用型钢制作定型化、工具式的平台，安装于结构楼层，为塔吊等垂直运输设备转运周转料具、建筑材料的提供平台。</w:t>
      </w:r>
    </w:p>
    <w:p>
      <w:pPr>
        <w:spacing w:line="360" w:lineRule="auto"/>
        <w:rPr>
          <w:color w:val="auto"/>
          <w:szCs w:val="21"/>
          <w:highlight w:val="none"/>
        </w:rPr>
      </w:pPr>
      <w:r>
        <w:rPr>
          <w:color w:val="auto"/>
          <w:szCs w:val="21"/>
          <w:highlight w:val="none"/>
        </w:rPr>
        <w:t>5.2</w:t>
      </w:r>
      <w:r>
        <w:rPr>
          <w:rFonts w:hint="eastAsia"/>
          <w:color w:val="auto"/>
          <w:szCs w:val="21"/>
          <w:highlight w:val="none"/>
        </w:rPr>
        <w:t>、结构要求：</w:t>
      </w:r>
    </w:p>
    <w:p>
      <w:pPr>
        <w:spacing w:line="360" w:lineRule="auto"/>
        <w:ind w:firstLine="420" w:firstLineChars="200"/>
        <w:rPr>
          <w:color w:val="auto"/>
          <w:szCs w:val="21"/>
          <w:highlight w:val="none"/>
        </w:rPr>
      </w:pPr>
      <w:r>
        <w:rPr>
          <w:rFonts w:hint="eastAsia"/>
          <w:color w:val="auto"/>
          <w:szCs w:val="21"/>
          <w:highlight w:val="none"/>
        </w:rPr>
        <w:t>卸料平台的主梁和次梁采用工字钢或槽钢，平台面用木脚手板铺设。平台的搁支点位于建筑物上并设支架固定，两边各设斜拉钢丝绳两道，并用花篮螺栓调整紧固。</w:t>
      </w:r>
    </w:p>
    <w:p>
      <w:pPr>
        <w:spacing w:line="360" w:lineRule="auto"/>
        <w:rPr>
          <w:color w:val="auto"/>
          <w:szCs w:val="21"/>
          <w:highlight w:val="none"/>
        </w:rPr>
      </w:pPr>
      <w:r>
        <w:rPr>
          <w:color w:val="auto"/>
          <w:szCs w:val="21"/>
          <w:highlight w:val="none"/>
        </w:rPr>
        <w:t>5.3</w:t>
      </w:r>
      <w:r>
        <w:rPr>
          <w:rFonts w:hint="eastAsia"/>
          <w:color w:val="auto"/>
          <w:szCs w:val="21"/>
          <w:highlight w:val="none"/>
        </w:rPr>
        <w:t>、防护要求：</w:t>
      </w:r>
    </w:p>
    <w:p>
      <w:pPr>
        <w:spacing w:line="360" w:lineRule="auto"/>
        <w:ind w:firstLine="315" w:firstLineChars="150"/>
        <w:rPr>
          <w:color w:val="auto"/>
          <w:szCs w:val="21"/>
          <w:highlight w:val="none"/>
        </w:rPr>
      </w:pPr>
      <w:r>
        <w:rPr>
          <w:rFonts w:hint="eastAsia"/>
          <w:color w:val="auto"/>
          <w:szCs w:val="21"/>
          <w:highlight w:val="none"/>
        </w:rPr>
        <w:t>卸料平台两侧边设置固定的</w:t>
      </w:r>
      <w:r>
        <w:rPr>
          <w:color w:val="auto"/>
          <w:szCs w:val="21"/>
          <w:highlight w:val="none"/>
        </w:rPr>
        <w:t>1.2m</w:t>
      </w:r>
      <w:r>
        <w:rPr>
          <w:rFonts w:hint="eastAsia"/>
          <w:color w:val="auto"/>
          <w:szCs w:val="21"/>
          <w:highlight w:val="none"/>
        </w:rPr>
        <w:t>高的防护栏杆，并挂设安全立网、设置</w:t>
      </w:r>
      <w:r>
        <w:rPr>
          <w:color w:val="auto"/>
          <w:szCs w:val="21"/>
          <w:highlight w:val="none"/>
        </w:rPr>
        <w:t>20cm</w:t>
      </w:r>
      <w:r>
        <w:rPr>
          <w:rFonts w:hint="eastAsia"/>
          <w:color w:val="auto"/>
          <w:szCs w:val="21"/>
          <w:highlight w:val="none"/>
        </w:rPr>
        <w:t>高挡脚板，封闭严密；外侧设置常闭式活动防护门，吊装长料时开启，其上作业人员拴安全带，吊运物件时指挥必须到场。</w:t>
      </w:r>
    </w:p>
    <w:p>
      <w:pPr>
        <w:spacing w:line="360" w:lineRule="auto"/>
        <w:rPr>
          <w:color w:val="auto"/>
          <w:szCs w:val="21"/>
          <w:highlight w:val="none"/>
        </w:rPr>
      </w:pPr>
      <w:r>
        <w:rPr>
          <w:color w:val="auto"/>
          <w:szCs w:val="21"/>
          <w:highlight w:val="none"/>
        </w:rPr>
        <w:t>5.4</w:t>
      </w:r>
      <w:r>
        <w:rPr>
          <w:rFonts w:hint="eastAsia"/>
          <w:color w:val="auto"/>
          <w:szCs w:val="21"/>
          <w:highlight w:val="none"/>
        </w:rPr>
        <w:t>、具体要求：</w:t>
      </w:r>
    </w:p>
    <w:p>
      <w:pPr>
        <w:spacing w:line="360" w:lineRule="auto"/>
        <w:rPr>
          <w:color w:val="auto"/>
          <w:szCs w:val="21"/>
          <w:highlight w:val="none"/>
        </w:rPr>
      </w:pPr>
      <w:r>
        <w:rPr>
          <w:color w:val="auto"/>
          <w:szCs w:val="21"/>
          <w:highlight w:val="none"/>
        </w:rPr>
        <w:t>5.4.1</w:t>
      </w:r>
      <w:r>
        <w:rPr>
          <w:rFonts w:hint="eastAsia"/>
          <w:color w:val="auto"/>
          <w:szCs w:val="21"/>
          <w:highlight w:val="none"/>
        </w:rPr>
        <w:t>、悬挑式钢平台的搁支点和上部拉节点，必须位于建筑物上，不得设置在脚手架等施工设施上。</w:t>
      </w:r>
    </w:p>
    <w:p>
      <w:pPr>
        <w:spacing w:line="360" w:lineRule="auto"/>
        <w:rPr>
          <w:color w:val="auto"/>
          <w:szCs w:val="21"/>
          <w:highlight w:val="none"/>
        </w:rPr>
      </w:pPr>
      <w:r>
        <w:rPr>
          <w:color w:val="auto"/>
          <w:szCs w:val="21"/>
          <w:highlight w:val="none"/>
        </w:rPr>
        <w:t>5.4.2</w:t>
      </w:r>
      <w:r>
        <w:rPr>
          <w:rFonts w:hint="eastAsia"/>
          <w:color w:val="auto"/>
          <w:szCs w:val="21"/>
          <w:highlight w:val="none"/>
        </w:rPr>
        <w:t>、斜拉杆或钢丝绳，应在平台两边各设前后两道，每一道均应按一道单边受力计算。</w:t>
      </w:r>
    </w:p>
    <w:p>
      <w:pPr>
        <w:spacing w:line="360" w:lineRule="auto"/>
        <w:rPr>
          <w:color w:val="auto"/>
          <w:szCs w:val="21"/>
          <w:highlight w:val="none"/>
        </w:rPr>
      </w:pPr>
      <w:r>
        <w:rPr>
          <w:color w:val="auto"/>
          <w:szCs w:val="21"/>
          <w:highlight w:val="none"/>
        </w:rPr>
        <w:t>5.4.3</w:t>
      </w:r>
      <w:r>
        <w:rPr>
          <w:rFonts w:hint="eastAsia"/>
          <w:color w:val="auto"/>
          <w:szCs w:val="21"/>
          <w:highlight w:val="none"/>
        </w:rPr>
        <w:t>、钢平台上应设置四个经验算的吊环，以固定斜拉杆或钢丝绳。吊运平台时应使用卡环，不得使用吊钩直接钩挂吊环。吊环应用</w:t>
      </w:r>
      <w:r>
        <w:rPr>
          <w:color w:val="auto"/>
          <w:szCs w:val="21"/>
          <w:highlight w:val="none"/>
        </w:rPr>
        <w:t>Q235F</w:t>
      </w:r>
      <w:r>
        <w:rPr>
          <w:rFonts w:hint="eastAsia"/>
          <w:color w:val="auto"/>
          <w:szCs w:val="21"/>
          <w:highlight w:val="none"/>
        </w:rPr>
        <w:t>钢制作。</w:t>
      </w:r>
    </w:p>
    <w:p>
      <w:pPr>
        <w:spacing w:line="360" w:lineRule="auto"/>
        <w:rPr>
          <w:color w:val="auto"/>
          <w:szCs w:val="21"/>
          <w:highlight w:val="none"/>
        </w:rPr>
      </w:pPr>
      <w:r>
        <w:rPr>
          <w:color w:val="auto"/>
          <w:szCs w:val="21"/>
          <w:highlight w:val="none"/>
        </w:rPr>
        <w:t>5.4.4</w:t>
      </w:r>
      <w:r>
        <w:rPr>
          <w:rFonts w:hint="eastAsia"/>
          <w:color w:val="auto"/>
          <w:szCs w:val="21"/>
          <w:highlight w:val="none"/>
        </w:rPr>
        <w:t>、钢平台安装时，钢丝绳应采用专用的挂钩挂牢，采取其它方式时卡头的卡子不得少于</w:t>
      </w:r>
      <w:r>
        <w:rPr>
          <w:color w:val="auto"/>
          <w:szCs w:val="21"/>
          <w:highlight w:val="none"/>
        </w:rPr>
        <w:t>3</w:t>
      </w:r>
      <w:r>
        <w:rPr>
          <w:rFonts w:hint="eastAsia"/>
          <w:color w:val="auto"/>
          <w:szCs w:val="21"/>
          <w:highlight w:val="none"/>
        </w:rPr>
        <w:t>个。建筑物锐角利口围系钢丝绳处应加衬软垫物，钢平台外口应略高于内口。</w:t>
      </w:r>
    </w:p>
    <w:p>
      <w:pPr>
        <w:spacing w:line="360" w:lineRule="auto"/>
        <w:rPr>
          <w:color w:val="auto"/>
          <w:szCs w:val="21"/>
          <w:highlight w:val="none"/>
        </w:rPr>
      </w:pPr>
      <w:r>
        <w:rPr>
          <w:color w:val="auto"/>
          <w:szCs w:val="21"/>
          <w:highlight w:val="none"/>
        </w:rPr>
        <w:t>5.4.5</w:t>
      </w:r>
      <w:r>
        <w:rPr>
          <w:rFonts w:hint="eastAsia"/>
          <w:color w:val="auto"/>
          <w:szCs w:val="21"/>
          <w:highlight w:val="none"/>
        </w:rPr>
        <w:t>、钢平台左右两侧必须装设固定的防护栏杆，端部可装设内开式活动格栅门，需要时打开，同时加装薄钢板封闭。</w:t>
      </w:r>
    </w:p>
    <w:p>
      <w:pPr>
        <w:spacing w:line="360" w:lineRule="auto"/>
        <w:rPr>
          <w:color w:val="auto"/>
          <w:szCs w:val="21"/>
          <w:highlight w:val="none"/>
        </w:rPr>
      </w:pPr>
      <w:r>
        <w:rPr>
          <w:color w:val="auto"/>
          <w:szCs w:val="21"/>
          <w:highlight w:val="none"/>
        </w:rPr>
        <w:t>5.4.6</w:t>
      </w:r>
      <w:r>
        <w:rPr>
          <w:rFonts w:hint="eastAsia"/>
          <w:color w:val="auto"/>
          <w:szCs w:val="21"/>
          <w:highlight w:val="none"/>
        </w:rPr>
        <w:t>、钢平台安装装，需待主梁尾端固定，接好斜拉钢丝绳，调整完毕，经过检查验收后方可松卸起重吊钩。</w:t>
      </w:r>
    </w:p>
    <w:p>
      <w:pPr>
        <w:spacing w:line="360" w:lineRule="auto"/>
        <w:rPr>
          <w:color w:val="auto"/>
          <w:szCs w:val="21"/>
          <w:highlight w:val="none"/>
        </w:rPr>
      </w:pPr>
      <w:r>
        <w:rPr>
          <w:color w:val="auto"/>
          <w:szCs w:val="21"/>
          <w:highlight w:val="none"/>
        </w:rPr>
        <w:t>5.4.7</w:t>
      </w:r>
      <w:r>
        <w:rPr>
          <w:rFonts w:hint="eastAsia"/>
          <w:color w:val="auto"/>
          <w:szCs w:val="21"/>
          <w:highlight w:val="none"/>
        </w:rPr>
        <w:t>、钢平台使用时，应有专人进行检查，发现钢丝绳有锈蚀损坏，应及时调换，焊缝脱焊应及时修复。</w:t>
      </w:r>
    </w:p>
    <w:p>
      <w:pPr>
        <w:spacing w:line="360" w:lineRule="auto"/>
        <w:rPr>
          <w:color w:val="auto"/>
          <w:szCs w:val="21"/>
          <w:highlight w:val="none"/>
        </w:rPr>
      </w:pPr>
      <w:r>
        <w:rPr>
          <w:color w:val="auto"/>
          <w:szCs w:val="21"/>
          <w:highlight w:val="none"/>
        </w:rPr>
        <w:t>5.4.8</w:t>
      </w:r>
      <w:r>
        <w:rPr>
          <w:rFonts w:hint="eastAsia"/>
          <w:color w:val="auto"/>
          <w:szCs w:val="21"/>
          <w:highlight w:val="none"/>
        </w:rPr>
        <w:t>、操作平台上，应在明显位置标明容许使用荷载。操作平台上人员和物料的总重，严禁超过设计容许使用荷载，应配备专人监督管理。</w:t>
      </w:r>
    </w:p>
    <w:p>
      <w:pPr>
        <w:spacing w:line="360" w:lineRule="auto"/>
        <w:rPr>
          <w:color w:val="auto"/>
          <w:szCs w:val="21"/>
          <w:highlight w:val="none"/>
        </w:rPr>
      </w:pPr>
      <w:r>
        <w:rPr>
          <w:color w:val="auto"/>
          <w:szCs w:val="21"/>
          <w:highlight w:val="none"/>
        </w:rPr>
        <w:t>5.4.9</w:t>
      </w:r>
      <w:r>
        <w:rPr>
          <w:rFonts w:hint="eastAsia"/>
          <w:color w:val="auto"/>
          <w:szCs w:val="21"/>
          <w:highlight w:val="none"/>
        </w:rPr>
        <w:t>、悬挑式钢平台应以槽钢作主、次梁，上铺厚度不小于</w:t>
      </w:r>
      <w:r>
        <w:rPr>
          <w:color w:val="auto"/>
          <w:szCs w:val="21"/>
          <w:highlight w:val="none"/>
        </w:rPr>
        <w:t>50mm</w:t>
      </w:r>
      <w:r>
        <w:rPr>
          <w:rFonts w:hint="eastAsia"/>
          <w:color w:val="auto"/>
          <w:szCs w:val="21"/>
          <w:highlight w:val="none"/>
        </w:rPr>
        <w:t>的木板，以螺栓与槽钢相固定，或上铺</w:t>
      </w:r>
      <w:r>
        <w:rPr>
          <w:color w:val="auto"/>
          <w:szCs w:val="21"/>
          <w:highlight w:val="none"/>
        </w:rPr>
        <w:t>4mm</w:t>
      </w:r>
      <w:r>
        <w:rPr>
          <w:rFonts w:hint="eastAsia"/>
          <w:color w:val="auto"/>
          <w:szCs w:val="21"/>
          <w:highlight w:val="none"/>
        </w:rPr>
        <w:t>厚钢板，并与槽钢焊接固定。</w:t>
      </w:r>
    </w:p>
    <w:p>
      <w:pPr>
        <w:spacing w:line="360" w:lineRule="auto"/>
        <w:rPr>
          <w:color w:val="auto"/>
          <w:szCs w:val="21"/>
          <w:highlight w:val="none"/>
        </w:rPr>
      </w:pPr>
      <w:r>
        <w:rPr>
          <w:rFonts w:hint="eastAsia"/>
          <w:color w:val="auto"/>
          <w:szCs w:val="21"/>
          <w:highlight w:val="none"/>
        </w:rPr>
        <w:t>载重量为</w:t>
      </w:r>
      <w:r>
        <w:rPr>
          <w:color w:val="auto"/>
          <w:szCs w:val="21"/>
          <w:highlight w:val="none"/>
        </w:rPr>
        <w:t>1</w:t>
      </w:r>
      <w:r>
        <w:rPr>
          <w:rFonts w:hint="eastAsia"/>
          <w:color w:val="auto"/>
          <w:szCs w:val="21"/>
          <w:highlight w:val="none"/>
        </w:rPr>
        <w:t>吨的卸料平台布置图</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5882640" cy="3750310"/>
            <wp:effectExtent l="0" t="0" r="0" b="0"/>
            <wp:docPr id="180" name="图片 3" descr="29  悬挑平台1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3" descr="29  悬挑平台1T"/>
                    <pic:cNvPicPr>
                      <a:picLocks noChangeAspect="1" noChangeArrowheads="1"/>
                    </pic:cNvPicPr>
                  </pic:nvPicPr>
                  <pic:blipFill>
                    <a:blip r:embed="rId48"/>
                    <a:srcRect l="28476" t="33528" r="34689" b="21425"/>
                    <a:stretch>
                      <a:fillRect/>
                    </a:stretch>
                  </pic:blipFill>
                  <pic:spPr>
                    <a:xfrm>
                      <a:off x="0" y="0"/>
                      <a:ext cx="5882640" cy="3750310"/>
                    </a:xfrm>
                    <a:prstGeom prst="rect">
                      <a:avLst/>
                    </a:prstGeom>
                    <a:noFill/>
                    <a:ln w="9525">
                      <a:noFill/>
                      <a:miter lim="800000"/>
                      <a:headEnd/>
                      <a:tailEnd/>
                    </a:ln>
                  </pic:spPr>
                </pic:pic>
              </a:graphicData>
            </a:graphic>
          </wp:inline>
        </w:drawing>
      </w:r>
    </w:p>
    <w:p>
      <w:pPr>
        <w:spacing w:line="360" w:lineRule="auto"/>
        <w:rPr>
          <w:color w:val="auto"/>
          <w:szCs w:val="21"/>
          <w:highlight w:val="none"/>
        </w:rPr>
      </w:pPr>
      <w:r>
        <w:rPr>
          <w:rFonts w:hint="eastAsia"/>
          <w:color w:val="auto"/>
          <w:szCs w:val="21"/>
          <w:highlight w:val="none"/>
        </w:rPr>
        <w:t>指导性标准做法</w:t>
      </w:r>
    </w:p>
    <w:p>
      <w:pPr>
        <w:spacing w:line="360" w:lineRule="auto"/>
        <w:rPr>
          <w:rFonts w:ascii="仿宋" w:hAnsi="仿宋" w:eastAsia="仿宋"/>
          <w:color w:val="auto"/>
          <w:highlight w:val="none"/>
        </w:rPr>
      </w:pPr>
      <w:r>
        <w:rPr>
          <w:rFonts w:ascii="仿宋" w:hAnsi="仿宋" w:eastAsia="仿宋"/>
          <w:color w:val="auto"/>
          <w:highlight w:val="none"/>
        </w:rPr>
        <w:drawing>
          <wp:inline distT="0" distB="0" distL="0" distR="0">
            <wp:extent cx="2324100" cy="2238375"/>
            <wp:effectExtent l="0" t="0" r="0" b="9525"/>
            <wp:docPr id="181" name="图片 2" descr="QQ截图2013010409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 descr="QQ截图20130104090238"/>
                    <pic:cNvPicPr>
                      <a:picLocks noChangeAspect="1" noChangeArrowheads="1"/>
                    </pic:cNvPicPr>
                  </pic:nvPicPr>
                  <pic:blipFill>
                    <a:blip r:embed="rId49"/>
                    <a:srcRect/>
                    <a:stretch>
                      <a:fillRect/>
                    </a:stretch>
                  </pic:blipFill>
                  <pic:spPr>
                    <a:xfrm>
                      <a:off x="0" y="0"/>
                      <a:ext cx="2324100" cy="2238375"/>
                    </a:xfrm>
                    <a:prstGeom prst="rect">
                      <a:avLst/>
                    </a:prstGeom>
                    <a:noFill/>
                    <a:ln w="9525">
                      <a:noFill/>
                      <a:miter lim="800000"/>
                      <a:headEnd/>
                      <a:tailEnd/>
                    </a:ln>
                  </pic:spPr>
                </pic:pic>
              </a:graphicData>
            </a:graphic>
          </wp:inline>
        </w:drawing>
      </w:r>
    </w:p>
    <w:p>
      <w:pPr>
        <w:spacing w:line="360" w:lineRule="auto"/>
        <w:rPr>
          <w:rFonts w:ascii="仿宋" w:hAnsi="仿宋" w:eastAsia="仿宋"/>
          <w:color w:val="auto"/>
          <w:highlight w:val="none"/>
        </w:rPr>
      </w:pPr>
      <w:r>
        <w:rPr>
          <w:rFonts w:ascii="仿宋" w:hAnsi="仿宋" w:eastAsia="仿宋"/>
          <w:color w:val="auto"/>
          <w:highlight w:val="none"/>
        </w:rPr>
        <w:t>6、</w:t>
      </w:r>
      <w:r>
        <w:rPr>
          <w:rFonts w:hint="eastAsia"/>
          <w:b/>
          <w:color w:val="auto"/>
          <w:szCs w:val="21"/>
          <w:highlight w:val="none"/>
        </w:rPr>
        <w:t>施工场地及出入口形象建设要求</w:t>
      </w:r>
    </w:p>
    <w:p>
      <w:pPr>
        <w:spacing w:line="360" w:lineRule="auto"/>
        <w:ind w:firstLine="420" w:firstLineChars="200"/>
        <w:rPr>
          <w:color w:val="auto"/>
          <w:szCs w:val="21"/>
          <w:highlight w:val="none"/>
        </w:rPr>
      </w:pPr>
      <w:r>
        <w:rPr>
          <w:rFonts w:hint="eastAsia"/>
          <w:color w:val="auto"/>
          <w:szCs w:val="21"/>
          <w:highlight w:val="none"/>
        </w:rPr>
        <w:t>施工现场需封闭管理</w:t>
      </w:r>
      <w:r>
        <w:rPr>
          <w:color w:val="auto"/>
          <w:szCs w:val="21"/>
          <w:highlight w:val="none"/>
        </w:rPr>
        <w:t>,</w:t>
      </w:r>
      <w:r>
        <w:rPr>
          <w:rFonts w:hint="eastAsia"/>
          <w:color w:val="auto"/>
          <w:szCs w:val="21"/>
          <w:highlight w:val="none"/>
        </w:rPr>
        <w:t>现场围挡</w:t>
      </w:r>
      <w:r>
        <w:rPr>
          <w:color w:val="auto"/>
          <w:szCs w:val="21"/>
          <w:highlight w:val="none"/>
        </w:rPr>
        <w:t>1.8</w:t>
      </w:r>
      <w:r>
        <w:rPr>
          <w:rFonts w:hint="eastAsia"/>
          <w:color w:val="auto"/>
          <w:szCs w:val="21"/>
          <w:highlight w:val="none"/>
        </w:rPr>
        <w:t>米以上，市区道路</w:t>
      </w:r>
      <w:r>
        <w:rPr>
          <w:color w:val="auto"/>
          <w:szCs w:val="21"/>
          <w:highlight w:val="none"/>
        </w:rPr>
        <w:t>2.5</w:t>
      </w:r>
      <w:r>
        <w:rPr>
          <w:rFonts w:hint="eastAsia"/>
          <w:color w:val="auto"/>
          <w:szCs w:val="21"/>
          <w:highlight w:val="none"/>
        </w:rPr>
        <w:t>米以上</w:t>
      </w:r>
      <w:r>
        <w:rPr>
          <w:color w:val="auto"/>
          <w:szCs w:val="21"/>
          <w:highlight w:val="none"/>
        </w:rPr>
        <w:t>,</w:t>
      </w:r>
      <w:r>
        <w:rPr>
          <w:rFonts w:hint="eastAsia"/>
          <w:color w:val="auto"/>
          <w:szCs w:val="21"/>
          <w:highlight w:val="none"/>
        </w:rPr>
        <w:t>设置大门和门卫，并要有企业形象标志及越秀地产企业形象标志。在出入口显著位置设置“五图一牌”，设置吸烟室及茶水厅，设置洗车池及越秀地产标准化流程宣传喷绘材料。施工场地内地面与道路要硬化或绿化，不能有积水；有排水措施。按要求配备一定数量的消防器材。</w:t>
      </w:r>
    </w:p>
    <w:p>
      <w:pPr>
        <w:spacing w:line="360" w:lineRule="auto"/>
        <w:ind w:firstLine="420" w:firstLineChars="200"/>
        <w:rPr>
          <w:color w:val="auto"/>
          <w:szCs w:val="21"/>
          <w:highlight w:val="none"/>
        </w:rPr>
      </w:pPr>
      <w:r>
        <w:rPr>
          <w:rFonts w:hint="eastAsia"/>
          <w:color w:val="auto"/>
          <w:szCs w:val="21"/>
          <w:highlight w:val="none"/>
        </w:rPr>
        <w:t>在施工场地内需设置悬挂</w:t>
      </w:r>
      <w:r>
        <w:rPr>
          <w:color w:val="auto"/>
          <w:szCs w:val="21"/>
          <w:highlight w:val="none"/>
        </w:rPr>
        <w:t xml:space="preserve"> 1</w:t>
      </w:r>
      <w:r>
        <w:rPr>
          <w:rFonts w:hint="eastAsia"/>
          <w:color w:val="auto"/>
          <w:szCs w:val="21"/>
          <w:highlight w:val="none"/>
        </w:rPr>
        <w:t>、分区牌</w:t>
      </w:r>
      <w:r>
        <w:rPr>
          <w:color w:val="auto"/>
          <w:szCs w:val="21"/>
          <w:highlight w:val="none"/>
        </w:rPr>
        <w:t xml:space="preserve">  2</w:t>
      </w:r>
      <w:r>
        <w:rPr>
          <w:rFonts w:hint="eastAsia"/>
          <w:color w:val="auto"/>
          <w:szCs w:val="21"/>
          <w:highlight w:val="none"/>
        </w:rPr>
        <w:t>、规划牌</w:t>
      </w:r>
      <w:r>
        <w:rPr>
          <w:color w:val="auto"/>
          <w:szCs w:val="21"/>
          <w:highlight w:val="none"/>
        </w:rPr>
        <w:t xml:space="preserve">    3</w:t>
      </w:r>
      <w:r>
        <w:rPr>
          <w:rFonts w:hint="eastAsia"/>
          <w:color w:val="auto"/>
          <w:szCs w:val="21"/>
          <w:highlight w:val="none"/>
        </w:rPr>
        <w:t>、环保牌</w:t>
      </w:r>
      <w:r>
        <w:rPr>
          <w:color w:val="auto"/>
          <w:szCs w:val="21"/>
          <w:highlight w:val="none"/>
        </w:rPr>
        <w:t xml:space="preserve">    4</w:t>
      </w:r>
      <w:r>
        <w:rPr>
          <w:rFonts w:hint="eastAsia"/>
          <w:color w:val="auto"/>
          <w:szCs w:val="21"/>
          <w:highlight w:val="none"/>
        </w:rPr>
        <w:t>、施工区导向牌</w:t>
      </w:r>
      <w:r>
        <w:rPr>
          <w:color w:val="auto"/>
          <w:szCs w:val="21"/>
          <w:highlight w:val="none"/>
        </w:rPr>
        <w:t xml:space="preserve">  5</w:t>
      </w:r>
      <w:r>
        <w:rPr>
          <w:rFonts w:hint="eastAsia"/>
          <w:color w:val="auto"/>
          <w:szCs w:val="21"/>
          <w:highlight w:val="none"/>
        </w:rPr>
        <w:t>、消防责任牌</w:t>
      </w:r>
      <w:r>
        <w:rPr>
          <w:color w:val="auto"/>
          <w:szCs w:val="21"/>
          <w:highlight w:val="none"/>
        </w:rPr>
        <w:t xml:space="preserve">  6</w:t>
      </w:r>
      <w:r>
        <w:rPr>
          <w:rFonts w:hint="eastAsia"/>
          <w:color w:val="auto"/>
          <w:szCs w:val="21"/>
          <w:highlight w:val="none"/>
        </w:rPr>
        <w:t>、安全警示牌</w:t>
      </w:r>
      <w:r>
        <w:rPr>
          <w:color w:val="auto"/>
          <w:szCs w:val="21"/>
          <w:highlight w:val="none"/>
        </w:rPr>
        <w:t xml:space="preserve">  7</w:t>
      </w:r>
      <w:r>
        <w:rPr>
          <w:rFonts w:hint="eastAsia"/>
          <w:color w:val="auto"/>
          <w:szCs w:val="21"/>
          <w:highlight w:val="none"/>
        </w:rPr>
        <w:t>、安全誓词牌</w:t>
      </w:r>
      <w:r>
        <w:rPr>
          <w:color w:val="auto"/>
          <w:szCs w:val="21"/>
          <w:highlight w:val="none"/>
        </w:rPr>
        <w:t xml:space="preserve"> 8</w:t>
      </w:r>
      <w:r>
        <w:rPr>
          <w:rFonts w:hint="eastAsia"/>
          <w:color w:val="auto"/>
          <w:szCs w:val="21"/>
          <w:highlight w:val="none"/>
        </w:rPr>
        <w:t>、安全标语牌</w:t>
      </w:r>
      <w:r>
        <w:rPr>
          <w:color w:val="auto"/>
          <w:szCs w:val="21"/>
          <w:highlight w:val="none"/>
        </w:rPr>
        <w:t xml:space="preserve">  9</w:t>
      </w:r>
      <w:r>
        <w:rPr>
          <w:rFonts w:hint="eastAsia"/>
          <w:color w:val="auto"/>
          <w:szCs w:val="21"/>
          <w:highlight w:val="none"/>
        </w:rPr>
        <w:t>、质量标准牌</w:t>
      </w:r>
      <w:r>
        <w:rPr>
          <w:color w:val="auto"/>
          <w:szCs w:val="21"/>
          <w:highlight w:val="none"/>
        </w:rPr>
        <w:t xml:space="preserve"> 10</w:t>
      </w:r>
      <w:r>
        <w:rPr>
          <w:rFonts w:hint="eastAsia"/>
          <w:color w:val="auto"/>
          <w:szCs w:val="21"/>
          <w:highlight w:val="none"/>
        </w:rPr>
        <w:t>、其他强制性牌图</w:t>
      </w:r>
    </w:p>
    <w:p>
      <w:pPr>
        <w:spacing w:line="360" w:lineRule="auto"/>
        <w:rPr>
          <w:color w:val="auto"/>
          <w:szCs w:val="21"/>
          <w:highlight w:val="none"/>
        </w:rPr>
      </w:pPr>
      <w:r>
        <w:rPr>
          <w:rFonts w:hint="eastAsia"/>
          <w:color w:val="auto"/>
          <w:szCs w:val="21"/>
          <w:highlight w:val="none"/>
        </w:rPr>
        <w:t>指导性标准做法</w:t>
      </w:r>
    </w:p>
    <w:p>
      <w:pPr>
        <w:spacing w:line="360" w:lineRule="auto"/>
        <w:rPr>
          <w:rFonts w:ascii="仿宋" w:hAnsi="仿宋" w:eastAsia="仿宋"/>
          <w:color w:val="auto"/>
          <w:highlight w:val="none"/>
        </w:rPr>
      </w:pPr>
      <w:r>
        <w:rPr>
          <w:rFonts w:ascii="仿宋" w:hAnsi="仿宋" w:eastAsia="仿宋"/>
          <w:color w:val="auto"/>
          <w:highlight w:val="none"/>
        </w:rPr>
        <w:drawing>
          <wp:anchor distT="0" distB="0" distL="114300" distR="114300" simplePos="0" relativeHeight="251672576" behindDoc="0" locked="0" layoutInCell="1" allowOverlap="1">
            <wp:simplePos x="0" y="0"/>
            <wp:positionH relativeFrom="column">
              <wp:posOffset>-1270</wp:posOffset>
            </wp:positionH>
            <wp:positionV relativeFrom="page">
              <wp:posOffset>5410200</wp:posOffset>
            </wp:positionV>
            <wp:extent cx="5698490" cy="3185795"/>
            <wp:effectExtent l="0" t="0" r="3810" b="1905"/>
            <wp:wrapSquare wrapText="bothSides"/>
            <wp:docPr id="182" name="图片 184" descr="QQ截图20130104100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4" descr="QQ截图20130104100657"/>
                    <pic:cNvPicPr>
                      <a:picLocks noChangeAspect="1" noChangeArrowheads="1"/>
                    </pic:cNvPicPr>
                  </pic:nvPicPr>
                  <pic:blipFill>
                    <a:blip r:embed="rId50"/>
                    <a:srcRect/>
                    <a:stretch>
                      <a:fillRect/>
                    </a:stretch>
                  </pic:blipFill>
                  <pic:spPr>
                    <a:xfrm>
                      <a:off x="0" y="0"/>
                      <a:ext cx="5698490" cy="3185795"/>
                    </a:xfrm>
                    <a:prstGeom prst="rect">
                      <a:avLst/>
                    </a:prstGeom>
                    <a:noFill/>
                    <a:ln w="9525">
                      <a:noFill/>
                      <a:miter lim="800000"/>
                      <a:headEnd/>
                      <a:tailEnd/>
                    </a:ln>
                  </pic:spPr>
                </pic:pic>
              </a:graphicData>
            </a:graphic>
          </wp:anchor>
        </w:drawing>
      </w:r>
    </w:p>
    <w:p>
      <w:pPr>
        <w:spacing w:line="360" w:lineRule="auto"/>
        <w:rPr>
          <w:rFonts w:ascii="仿宋" w:hAnsi="仿宋" w:eastAsia="仿宋"/>
          <w:color w:val="auto"/>
          <w:highlight w:val="none"/>
        </w:rPr>
      </w:pPr>
    </w:p>
    <w:p>
      <w:pPr>
        <w:spacing w:line="360" w:lineRule="auto"/>
        <w:rPr>
          <w:rFonts w:ascii="仿宋" w:hAnsi="仿宋" w:eastAsia="仿宋"/>
          <w:color w:val="auto"/>
          <w:highlight w:val="none"/>
        </w:rPr>
      </w:pPr>
    </w:p>
    <w:p>
      <w:pPr>
        <w:spacing w:line="360" w:lineRule="auto"/>
        <w:rPr>
          <w:color w:val="auto"/>
          <w:szCs w:val="21"/>
          <w:highlight w:val="none"/>
        </w:rPr>
      </w:pPr>
    </w:p>
    <w:p>
      <w:pPr>
        <w:spacing w:line="360" w:lineRule="auto"/>
        <w:rPr>
          <w:b/>
          <w:color w:val="auto"/>
          <w:szCs w:val="21"/>
          <w:highlight w:val="none"/>
        </w:rPr>
      </w:pPr>
    </w:p>
    <w:p>
      <w:pPr>
        <w:spacing w:line="360" w:lineRule="auto"/>
        <w:rPr>
          <w:b/>
          <w:color w:val="auto"/>
          <w:szCs w:val="21"/>
          <w:highlight w:val="none"/>
        </w:rPr>
      </w:pPr>
      <w:r>
        <w:rPr>
          <w:rFonts w:ascii="仿宋" w:hAnsi="仿宋" w:eastAsia="仿宋"/>
          <w:color w:val="auto"/>
          <w:highlight w:val="none"/>
        </w:rPr>
        <w:drawing>
          <wp:anchor distT="0" distB="0" distL="114300" distR="114300" simplePos="0" relativeHeight="251671552" behindDoc="0" locked="0" layoutInCell="1" allowOverlap="1">
            <wp:simplePos x="0" y="0"/>
            <wp:positionH relativeFrom="column">
              <wp:posOffset>2472690</wp:posOffset>
            </wp:positionH>
            <wp:positionV relativeFrom="paragraph">
              <wp:posOffset>160020</wp:posOffset>
            </wp:positionV>
            <wp:extent cx="3425825" cy="2974340"/>
            <wp:effectExtent l="0" t="0" r="3175" b="10160"/>
            <wp:wrapSquare wrapText="bothSides"/>
            <wp:docPr id="183" name="图片 183" descr="QQ截图20130104100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QQ截图20130104100709"/>
                    <pic:cNvPicPr>
                      <a:picLocks noChangeAspect="1" noChangeArrowheads="1"/>
                    </pic:cNvPicPr>
                  </pic:nvPicPr>
                  <pic:blipFill>
                    <a:blip r:embed="rId51"/>
                    <a:srcRect/>
                    <a:stretch>
                      <a:fillRect/>
                    </a:stretch>
                  </pic:blipFill>
                  <pic:spPr>
                    <a:xfrm>
                      <a:off x="0" y="0"/>
                      <a:ext cx="3425825" cy="2974340"/>
                    </a:xfrm>
                    <a:prstGeom prst="rect">
                      <a:avLst/>
                    </a:prstGeom>
                    <a:noFill/>
                    <a:ln w="9525">
                      <a:noFill/>
                      <a:miter lim="800000"/>
                      <a:headEnd/>
                      <a:tailEnd/>
                    </a:ln>
                  </pic:spPr>
                </pic:pic>
              </a:graphicData>
            </a:graphic>
          </wp:anchor>
        </w:drawing>
      </w:r>
      <w:r>
        <w:rPr>
          <w:rFonts w:ascii="仿宋" w:hAnsi="仿宋" w:eastAsia="仿宋"/>
          <w:color w:val="auto"/>
          <w:highlight w:val="none"/>
        </w:rPr>
        <w:drawing>
          <wp:anchor distT="0" distB="0" distL="114300" distR="114300" simplePos="0" relativeHeight="251670528" behindDoc="0" locked="0" layoutInCell="1" allowOverlap="1">
            <wp:simplePos x="0" y="0"/>
            <wp:positionH relativeFrom="column">
              <wp:posOffset>1905</wp:posOffset>
            </wp:positionH>
            <wp:positionV relativeFrom="paragraph">
              <wp:posOffset>132715</wp:posOffset>
            </wp:positionV>
            <wp:extent cx="2371725" cy="2190750"/>
            <wp:effectExtent l="0" t="0" r="3175" b="6350"/>
            <wp:wrapSquare wrapText="bothSides"/>
            <wp:docPr id="184" name="图片 182" descr="QQ截图20130104100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2" descr="QQ截图20130104100946"/>
                    <pic:cNvPicPr>
                      <a:picLocks noChangeAspect="1" noChangeArrowheads="1"/>
                    </pic:cNvPicPr>
                  </pic:nvPicPr>
                  <pic:blipFill>
                    <a:blip r:embed="rId52"/>
                    <a:srcRect/>
                    <a:stretch>
                      <a:fillRect/>
                    </a:stretch>
                  </pic:blipFill>
                  <pic:spPr>
                    <a:xfrm>
                      <a:off x="0" y="0"/>
                      <a:ext cx="2371725" cy="2190750"/>
                    </a:xfrm>
                    <a:prstGeom prst="rect">
                      <a:avLst/>
                    </a:prstGeom>
                    <a:noFill/>
                    <a:ln w="9525">
                      <a:noFill/>
                      <a:miter lim="800000"/>
                      <a:headEnd/>
                      <a:tailEnd/>
                    </a:ln>
                  </pic:spPr>
                </pic:pic>
              </a:graphicData>
            </a:graphic>
          </wp:anchor>
        </w:drawing>
      </w:r>
    </w:p>
    <w:p>
      <w:pPr>
        <w:spacing w:line="360" w:lineRule="auto"/>
        <w:rPr>
          <w:b/>
          <w:color w:val="auto"/>
          <w:szCs w:val="21"/>
          <w:highlight w:val="none"/>
        </w:rPr>
      </w:pPr>
    </w:p>
    <w:p>
      <w:pPr>
        <w:spacing w:line="360" w:lineRule="auto"/>
        <w:rPr>
          <w:b/>
          <w:color w:val="auto"/>
          <w:szCs w:val="21"/>
          <w:highlight w:val="none"/>
        </w:rPr>
      </w:pPr>
    </w:p>
    <w:p>
      <w:pPr>
        <w:spacing w:line="360" w:lineRule="auto"/>
        <w:rPr>
          <w:color w:val="auto"/>
          <w:szCs w:val="21"/>
          <w:highlight w:val="none"/>
        </w:rPr>
      </w:pPr>
    </w:p>
    <w:p>
      <w:pPr>
        <w:spacing w:line="360" w:lineRule="auto"/>
        <w:rPr>
          <w:b/>
          <w:color w:val="auto"/>
          <w:szCs w:val="21"/>
          <w:highlight w:val="none"/>
        </w:rPr>
      </w:pPr>
      <w:r>
        <w:rPr>
          <w:b/>
          <w:color w:val="auto"/>
          <w:szCs w:val="21"/>
          <w:highlight w:val="none"/>
        </w:rPr>
        <w:t>7</w:t>
      </w:r>
      <w:r>
        <w:rPr>
          <w:rFonts w:hint="eastAsia"/>
          <w:b/>
          <w:color w:val="auto"/>
          <w:szCs w:val="21"/>
          <w:highlight w:val="none"/>
        </w:rPr>
        <w:t>、施工人员安全防护</w:t>
      </w:r>
    </w:p>
    <w:p>
      <w:pPr>
        <w:spacing w:line="360" w:lineRule="auto"/>
        <w:rPr>
          <w:color w:val="auto"/>
          <w:szCs w:val="21"/>
          <w:highlight w:val="none"/>
        </w:rPr>
      </w:pPr>
      <w:r>
        <w:rPr>
          <w:color w:val="auto"/>
          <w:szCs w:val="21"/>
          <w:highlight w:val="none"/>
        </w:rPr>
        <w:t>7.1</w:t>
      </w:r>
      <w:r>
        <w:rPr>
          <w:rFonts w:hint="eastAsia"/>
          <w:color w:val="auto"/>
          <w:szCs w:val="21"/>
          <w:highlight w:val="none"/>
        </w:rPr>
        <w:t>、基本要求</w:t>
      </w:r>
      <w:r>
        <w:rPr>
          <w:color w:val="auto"/>
          <w:szCs w:val="21"/>
          <w:highlight w:val="none"/>
        </w:rPr>
        <w:t>:</w:t>
      </w:r>
    </w:p>
    <w:p>
      <w:pPr>
        <w:spacing w:line="360" w:lineRule="auto"/>
        <w:ind w:firstLine="435"/>
        <w:rPr>
          <w:color w:val="auto"/>
          <w:szCs w:val="21"/>
          <w:highlight w:val="none"/>
        </w:rPr>
      </w:pPr>
      <w:r>
        <w:rPr>
          <w:rFonts w:hint="eastAsia"/>
          <w:color w:val="auto"/>
          <w:szCs w:val="21"/>
          <w:highlight w:val="none"/>
        </w:rPr>
        <w:t>承包人须按要求设置专职安全员及现场安全管理人员。凡进入施工现场的人员必须戴好安全帽。安全帽必须符合《安全帽》</w:t>
      </w:r>
      <w:r>
        <w:rPr>
          <w:color w:val="auto"/>
          <w:szCs w:val="21"/>
          <w:highlight w:val="none"/>
        </w:rPr>
        <w:t>GB2811</w:t>
      </w:r>
      <w:r>
        <w:rPr>
          <w:rFonts w:hint="eastAsia"/>
          <w:color w:val="auto"/>
          <w:szCs w:val="21"/>
          <w:highlight w:val="none"/>
        </w:rPr>
        <w:t>—</w:t>
      </w:r>
      <w:r>
        <w:rPr>
          <w:color w:val="auto"/>
          <w:szCs w:val="21"/>
          <w:highlight w:val="none"/>
        </w:rPr>
        <w:t>2007</w:t>
      </w:r>
      <w:r>
        <w:rPr>
          <w:rFonts w:hint="eastAsia"/>
          <w:color w:val="auto"/>
          <w:szCs w:val="21"/>
          <w:highlight w:val="none"/>
        </w:rPr>
        <w:t>国家标准。高空作业人员必须戴好安全带，安全带必须符合《安全带》</w:t>
      </w:r>
      <w:r>
        <w:rPr>
          <w:color w:val="auto"/>
          <w:szCs w:val="21"/>
          <w:highlight w:val="none"/>
        </w:rPr>
        <w:t>GB6095</w:t>
      </w:r>
      <w:r>
        <w:rPr>
          <w:rFonts w:hint="eastAsia"/>
          <w:color w:val="auto"/>
          <w:szCs w:val="21"/>
          <w:highlight w:val="none"/>
        </w:rPr>
        <w:t>—</w:t>
      </w:r>
      <w:r>
        <w:rPr>
          <w:color w:val="auto"/>
          <w:szCs w:val="21"/>
          <w:highlight w:val="none"/>
        </w:rPr>
        <w:t>2009</w:t>
      </w:r>
      <w:r>
        <w:rPr>
          <w:rFonts w:hint="eastAsia"/>
          <w:color w:val="auto"/>
          <w:szCs w:val="21"/>
          <w:highlight w:val="none"/>
        </w:rPr>
        <w:t>国家标准。安全网、架、材质、规格要符合《安全网》</w:t>
      </w:r>
      <w:r>
        <w:rPr>
          <w:color w:val="auto"/>
          <w:szCs w:val="21"/>
          <w:highlight w:val="none"/>
        </w:rPr>
        <w:t>GB5725</w:t>
      </w:r>
      <w:r>
        <w:rPr>
          <w:rFonts w:hint="eastAsia"/>
          <w:color w:val="auto"/>
          <w:szCs w:val="21"/>
          <w:highlight w:val="none"/>
        </w:rPr>
        <w:t>——</w:t>
      </w:r>
      <w:r>
        <w:rPr>
          <w:color w:val="auto"/>
          <w:szCs w:val="21"/>
          <w:highlight w:val="none"/>
        </w:rPr>
        <w:t>2009</w:t>
      </w:r>
      <w:r>
        <w:rPr>
          <w:rFonts w:hint="eastAsia"/>
          <w:color w:val="auto"/>
          <w:szCs w:val="21"/>
          <w:highlight w:val="none"/>
        </w:rPr>
        <w:t>国家标准。要有安全监督部门的准用证，并对安全网进行冲击荷载实验。密目网要符合</w:t>
      </w:r>
      <w:r>
        <w:rPr>
          <w:color w:val="auto"/>
          <w:szCs w:val="21"/>
          <w:highlight w:val="none"/>
        </w:rPr>
        <w:t>GB169009</w:t>
      </w:r>
      <w:r>
        <w:rPr>
          <w:rFonts w:hint="eastAsia"/>
          <w:color w:val="auto"/>
          <w:szCs w:val="21"/>
          <w:highlight w:val="none"/>
        </w:rPr>
        <w:t>—</w:t>
      </w:r>
      <w:r>
        <w:rPr>
          <w:color w:val="auto"/>
          <w:szCs w:val="21"/>
          <w:highlight w:val="none"/>
        </w:rPr>
        <w:t>1997</w:t>
      </w:r>
      <w:r>
        <w:rPr>
          <w:rFonts w:hint="eastAsia"/>
          <w:color w:val="auto"/>
          <w:szCs w:val="21"/>
          <w:highlight w:val="none"/>
        </w:rPr>
        <w:t>国家标准。有安全监督部门的准用证和检验合格证。</w:t>
      </w:r>
    </w:p>
    <w:p>
      <w:pPr>
        <w:spacing w:line="360" w:lineRule="auto"/>
        <w:rPr>
          <w:color w:val="auto"/>
          <w:highlight w:val="none"/>
        </w:rPr>
      </w:pPr>
    </w:p>
    <w:p>
      <w:pPr>
        <w:pStyle w:val="714"/>
        <w:numPr>
          <w:ilvl w:val="0"/>
          <w:numId w:val="7"/>
        </w:numPr>
        <w:autoSpaceDE w:val="0"/>
        <w:autoSpaceDN w:val="0"/>
        <w:adjustRightInd w:val="0"/>
        <w:spacing w:line="360" w:lineRule="auto"/>
        <w:ind w:firstLineChars="0"/>
        <w:jc w:val="left"/>
        <w:outlineLvl w:val="1"/>
        <w:rPr>
          <w:b/>
          <w:color w:val="auto"/>
          <w:highlight w:val="none"/>
        </w:rPr>
      </w:pPr>
      <w:r>
        <w:rPr>
          <w:rFonts w:hint="eastAsia"/>
          <w:b/>
          <w:color w:val="auto"/>
          <w:highlight w:val="none"/>
        </w:rPr>
        <w:t>承包人需要遵守的发包人的其他管理制度</w:t>
      </w:r>
    </w:p>
    <w:p>
      <w:pPr>
        <w:spacing w:line="360" w:lineRule="auto"/>
        <w:rPr>
          <w:color w:val="auto"/>
          <w:highlight w:val="none"/>
        </w:rPr>
      </w:pPr>
      <w:r>
        <w:rPr>
          <w:color w:val="auto"/>
          <w:highlight w:val="none"/>
        </w:rPr>
        <w:t>2</w:t>
      </w:r>
      <w:r>
        <w:rPr>
          <w:rFonts w:hint="eastAsia"/>
          <w:color w:val="auto"/>
          <w:highlight w:val="none"/>
        </w:rPr>
        <w:t>4</w:t>
      </w:r>
      <w:r>
        <w:rPr>
          <w:color w:val="auto"/>
          <w:highlight w:val="none"/>
        </w:rPr>
        <w:t>.1</w:t>
      </w:r>
      <w:r>
        <w:rPr>
          <w:rFonts w:hint="eastAsia"/>
          <w:color w:val="auto"/>
          <w:highlight w:val="none"/>
        </w:rPr>
        <w:t>防渗漏质量控制规定</w:t>
      </w:r>
    </w:p>
    <w:p>
      <w:pPr>
        <w:spacing w:line="360" w:lineRule="auto"/>
        <w:rPr>
          <w:color w:val="auto"/>
          <w:highlight w:val="none"/>
        </w:rPr>
      </w:pPr>
    </w:p>
    <w:p>
      <w:pPr>
        <w:rPr>
          <w:color w:val="auto"/>
          <w:highlight w:val="none"/>
        </w:rPr>
      </w:pPr>
      <w:r>
        <w:rPr>
          <w:color w:val="auto"/>
          <w:highlight w:val="none"/>
        </w:rPr>
        <w:drawing>
          <wp:anchor distT="0" distB="0" distL="114300" distR="114300" simplePos="0" relativeHeight="251673600" behindDoc="1" locked="1" layoutInCell="1" allowOverlap="1">
            <wp:simplePos x="0" y="0"/>
            <wp:positionH relativeFrom="page">
              <wp:posOffset>828040</wp:posOffset>
            </wp:positionH>
            <wp:positionV relativeFrom="page">
              <wp:posOffset>868045</wp:posOffset>
            </wp:positionV>
            <wp:extent cx="5991860" cy="8277225"/>
            <wp:effectExtent l="0" t="0" r="8890" b="9525"/>
            <wp:wrapTopAndBottom/>
            <wp:docPr id="116"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81"/>
                    <pic:cNvPicPr>
                      <a:picLocks noChangeAspect="1" noChangeArrowheads="1"/>
                    </pic:cNvPicPr>
                  </pic:nvPicPr>
                  <pic:blipFill>
                    <a:blip r:embed="rId53"/>
                    <a:srcRect/>
                    <a:stretch>
                      <a:fillRect/>
                    </a:stretch>
                  </pic:blipFill>
                  <pic:spPr>
                    <a:xfrm>
                      <a:off x="0" y="0"/>
                      <a:ext cx="5991860" cy="8277225"/>
                    </a:xfrm>
                    <a:prstGeom prst="rect">
                      <a:avLst/>
                    </a:prstGeom>
                    <a:noFill/>
                    <a:ln w="9525">
                      <a:noFill/>
                      <a:miter lim="800000"/>
                      <a:headEnd/>
                      <a:tailEnd/>
                    </a:ln>
                  </pic:spPr>
                </pic:pic>
              </a:graphicData>
            </a:graphic>
          </wp:anchor>
        </w:drawing>
      </w:r>
    </w:p>
    <w:p>
      <w:pPr>
        <w:rPr>
          <w:color w:val="auto"/>
          <w:highlight w:val="none"/>
        </w:rPr>
      </w:pPr>
    </w:p>
    <w:p>
      <w:pPr>
        <w:rPr>
          <w:color w:val="auto"/>
          <w:highlight w:val="none"/>
        </w:rPr>
        <w:sectPr>
          <w:headerReference r:id="rId4" w:type="first"/>
          <w:headerReference r:id="rId3" w:type="default"/>
          <w:footerReference r:id="rId5" w:type="default"/>
          <w:pgSz w:w="11906" w:h="16838"/>
          <w:pgMar w:top="1134" w:right="1304" w:bottom="1134" w:left="1304" w:header="851" w:footer="992" w:gutter="0"/>
          <w:cols w:space="720" w:num="1"/>
          <w:titlePg/>
          <w:docGrid w:linePitch="312" w:charSpace="0"/>
        </w:sectPr>
      </w:pPr>
    </w:p>
    <w:p>
      <w:pPr>
        <w:rPr>
          <w:color w:val="auto"/>
          <w:szCs w:val="21"/>
          <w:highlight w:val="none"/>
        </w:rPr>
        <w:sectPr>
          <w:pgSz w:w="16838" w:h="11906" w:orient="landscape"/>
          <w:pgMar w:top="1304" w:right="1134" w:bottom="1304" w:left="1134" w:header="851" w:footer="992" w:gutter="0"/>
          <w:cols w:space="720" w:num="1"/>
          <w:docGrid w:linePitch="312" w:charSpace="0"/>
        </w:sectPr>
      </w:pPr>
      <w:r>
        <w:rPr>
          <w:color w:val="auto"/>
          <w:szCs w:val="21"/>
          <w:highlight w:val="none"/>
        </w:rPr>
        <w:drawing>
          <wp:inline distT="0" distB="0" distL="0" distR="0">
            <wp:extent cx="8830310" cy="5895975"/>
            <wp:effectExtent l="0" t="0" r="8890" b="9525"/>
            <wp:docPr id="11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62"/>
                    <pic:cNvPicPr>
                      <a:picLocks noChangeAspect="1" noChangeArrowheads="1"/>
                    </pic:cNvPicPr>
                  </pic:nvPicPr>
                  <pic:blipFill>
                    <a:blip r:embed="rId54"/>
                    <a:srcRect/>
                    <a:stretch>
                      <a:fillRect/>
                    </a:stretch>
                  </pic:blipFill>
                  <pic:spPr>
                    <a:xfrm>
                      <a:off x="0" y="0"/>
                      <a:ext cx="8830310" cy="5895975"/>
                    </a:xfrm>
                    <a:prstGeom prst="rect">
                      <a:avLst/>
                    </a:prstGeom>
                    <a:noFill/>
                    <a:ln w="9525">
                      <a:noFill/>
                      <a:miter lim="800000"/>
                      <a:headEnd/>
                      <a:tailEnd/>
                    </a:ln>
                  </pic:spPr>
                </pic:pic>
              </a:graphicData>
            </a:graphic>
          </wp:inline>
        </w:drawing>
      </w:r>
      <w:r>
        <w:rPr>
          <w:color w:val="auto"/>
          <w:szCs w:val="21"/>
          <w:highlight w:val="none"/>
        </w:rPr>
        <w:drawing>
          <wp:inline distT="0" distB="0" distL="0" distR="0">
            <wp:extent cx="8544560" cy="5640070"/>
            <wp:effectExtent l="0" t="0" r="8890" b="17780"/>
            <wp:docPr id="11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1"/>
                    <pic:cNvPicPr>
                      <a:picLocks noChangeAspect="1" noChangeArrowheads="1"/>
                    </pic:cNvPicPr>
                  </pic:nvPicPr>
                  <pic:blipFill>
                    <a:blip r:embed="rId55"/>
                    <a:srcRect/>
                    <a:stretch>
                      <a:fillRect/>
                    </a:stretch>
                  </pic:blipFill>
                  <pic:spPr>
                    <a:xfrm>
                      <a:off x="0" y="0"/>
                      <a:ext cx="8544560" cy="5640070"/>
                    </a:xfrm>
                    <a:prstGeom prst="rect">
                      <a:avLst/>
                    </a:prstGeom>
                    <a:noFill/>
                    <a:ln w="9525">
                      <a:noFill/>
                      <a:miter lim="800000"/>
                      <a:headEnd/>
                      <a:tailEnd/>
                    </a:ln>
                  </pic:spPr>
                </pic:pic>
              </a:graphicData>
            </a:graphic>
          </wp:inline>
        </w:drawing>
      </w:r>
      <w:r>
        <w:rPr>
          <w:color w:val="auto"/>
          <w:szCs w:val="21"/>
          <w:highlight w:val="none"/>
        </w:rPr>
        <w:drawing>
          <wp:inline distT="0" distB="0" distL="0" distR="0">
            <wp:extent cx="8601710" cy="5247005"/>
            <wp:effectExtent l="0" t="0" r="8890" b="10795"/>
            <wp:docPr id="12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60"/>
                    <pic:cNvPicPr>
                      <a:picLocks noChangeAspect="1" noChangeArrowheads="1"/>
                    </pic:cNvPicPr>
                  </pic:nvPicPr>
                  <pic:blipFill>
                    <a:blip r:embed="rId56"/>
                    <a:srcRect/>
                    <a:stretch>
                      <a:fillRect/>
                    </a:stretch>
                  </pic:blipFill>
                  <pic:spPr>
                    <a:xfrm>
                      <a:off x="0" y="0"/>
                      <a:ext cx="8601710" cy="5247005"/>
                    </a:xfrm>
                    <a:prstGeom prst="rect">
                      <a:avLst/>
                    </a:prstGeom>
                    <a:noFill/>
                    <a:ln w="9525">
                      <a:noFill/>
                      <a:miter lim="800000"/>
                      <a:headEnd/>
                      <a:tailEnd/>
                    </a:ln>
                  </pic:spPr>
                </pic:pic>
              </a:graphicData>
            </a:graphic>
          </wp:inline>
        </w:drawing>
      </w:r>
    </w:p>
    <w:p>
      <w:pPr>
        <w:rPr>
          <w:color w:val="auto"/>
          <w:highlight w:val="none"/>
        </w:rPr>
      </w:pPr>
      <w:r>
        <w:rPr>
          <w:color w:val="auto"/>
          <w:highlight w:val="none"/>
        </w:rPr>
        <w:drawing>
          <wp:inline distT="0" distB="0" distL="0" distR="0">
            <wp:extent cx="8896350" cy="5612765"/>
            <wp:effectExtent l="0" t="0" r="0" b="6985"/>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noChangeArrowheads="1"/>
                    </pic:cNvPicPr>
                  </pic:nvPicPr>
                  <pic:blipFill>
                    <a:blip r:embed="rId57"/>
                    <a:srcRect/>
                    <a:stretch>
                      <a:fillRect/>
                    </a:stretch>
                  </pic:blipFill>
                  <pic:spPr>
                    <a:xfrm>
                      <a:off x="0" y="0"/>
                      <a:ext cx="8896350" cy="5612765"/>
                    </a:xfrm>
                    <a:prstGeom prst="rect">
                      <a:avLst/>
                    </a:prstGeom>
                    <a:noFill/>
                    <a:ln w="9525">
                      <a:noFill/>
                      <a:miter lim="800000"/>
                      <a:headEnd/>
                      <a:tailEnd/>
                    </a:ln>
                  </pic:spPr>
                </pic:pic>
              </a:graphicData>
            </a:graphic>
          </wp:inline>
        </w:drawing>
      </w:r>
    </w:p>
    <w:p>
      <w:pPr>
        <w:spacing w:line="360" w:lineRule="auto"/>
        <w:rPr>
          <w:color w:val="auto"/>
          <w:highlight w:val="none"/>
        </w:rPr>
      </w:pPr>
      <w:r>
        <w:rPr>
          <w:rFonts w:hint="eastAsia"/>
          <w:color w:val="auto"/>
          <w:kern w:val="0"/>
          <w:szCs w:val="21"/>
          <w:highlight w:val="none"/>
        </w:rPr>
        <w:drawing>
          <wp:inline distT="0" distB="0" distL="0" distR="0">
            <wp:extent cx="9496425" cy="5667375"/>
            <wp:effectExtent l="0" t="0" r="3175" b="9525"/>
            <wp:docPr id="12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8"/>
                    <pic:cNvPicPr>
                      <a:picLocks noChangeAspect="1" noChangeArrowheads="1"/>
                    </pic:cNvPicPr>
                  </pic:nvPicPr>
                  <pic:blipFill>
                    <a:blip r:embed="rId58"/>
                    <a:srcRect/>
                    <a:stretch>
                      <a:fillRect/>
                    </a:stretch>
                  </pic:blipFill>
                  <pic:spPr>
                    <a:xfrm>
                      <a:off x="0" y="0"/>
                      <a:ext cx="9496425" cy="5667375"/>
                    </a:xfrm>
                    <a:prstGeom prst="rect">
                      <a:avLst/>
                    </a:prstGeom>
                    <a:noFill/>
                    <a:ln w="9525">
                      <a:noFill/>
                      <a:miter lim="800000"/>
                      <a:headEnd/>
                      <a:tailEnd/>
                    </a:ln>
                  </pic:spPr>
                </pic:pic>
              </a:graphicData>
            </a:graphic>
          </wp:inline>
        </w:drawing>
      </w:r>
      <w:r>
        <w:rPr>
          <w:rFonts w:hint="eastAsia"/>
          <w:color w:val="auto"/>
          <w:kern w:val="0"/>
          <w:szCs w:val="21"/>
          <w:highlight w:val="none"/>
        </w:rPr>
        <w:drawing>
          <wp:inline distT="0" distB="0" distL="0" distR="0">
            <wp:extent cx="8049260" cy="5681345"/>
            <wp:effectExtent l="0" t="0" r="8890" b="14605"/>
            <wp:docPr id="15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57"/>
                    <pic:cNvPicPr>
                      <a:picLocks noChangeAspect="1" noChangeArrowheads="1"/>
                    </pic:cNvPicPr>
                  </pic:nvPicPr>
                  <pic:blipFill>
                    <a:blip r:embed="rId59"/>
                    <a:srcRect/>
                    <a:stretch>
                      <a:fillRect/>
                    </a:stretch>
                  </pic:blipFill>
                  <pic:spPr>
                    <a:xfrm>
                      <a:off x="0" y="0"/>
                      <a:ext cx="8049260" cy="5681345"/>
                    </a:xfrm>
                    <a:prstGeom prst="rect">
                      <a:avLst/>
                    </a:prstGeom>
                    <a:noFill/>
                    <a:ln w="9525">
                      <a:noFill/>
                      <a:miter lim="800000"/>
                      <a:headEnd/>
                      <a:tailEnd/>
                    </a:ln>
                  </pic:spPr>
                </pic:pic>
              </a:graphicData>
            </a:graphic>
          </wp:inline>
        </w:drawing>
      </w:r>
      <w:r>
        <w:rPr>
          <w:rFonts w:hint="eastAsia"/>
          <w:color w:val="auto"/>
          <w:kern w:val="0"/>
          <w:szCs w:val="21"/>
          <w:highlight w:val="none"/>
        </w:rPr>
        <w:drawing>
          <wp:inline distT="0" distB="0" distL="0" distR="0">
            <wp:extent cx="8391525" cy="5872480"/>
            <wp:effectExtent l="0" t="0" r="9525" b="13970"/>
            <wp:docPr id="15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56"/>
                    <pic:cNvPicPr>
                      <a:picLocks noChangeAspect="1" noChangeArrowheads="1"/>
                    </pic:cNvPicPr>
                  </pic:nvPicPr>
                  <pic:blipFill>
                    <a:blip r:embed="rId60"/>
                    <a:srcRect/>
                    <a:stretch>
                      <a:fillRect/>
                    </a:stretch>
                  </pic:blipFill>
                  <pic:spPr>
                    <a:xfrm>
                      <a:off x="0" y="0"/>
                      <a:ext cx="8391525" cy="5872480"/>
                    </a:xfrm>
                    <a:prstGeom prst="rect">
                      <a:avLst/>
                    </a:prstGeom>
                    <a:noFill/>
                    <a:ln w="9525">
                      <a:noFill/>
                      <a:miter lim="800000"/>
                      <a:headEnd/>
                      <a:tailEnd/>
                    </a:ln>
                  </pic:spPr>
                </pic:pic>
              </a:graphicData>
            </a:graphic>
          </wp:inline>
        </w:drawing>
      </w:r>
      <w:r>
        <w:rPr>
          <w:rFonts w:hint="eastAsia"/>
          <w:color w:val="auto"/>
          <w:kern w:val="0"/>
          <w:szCs w:val="21"/>
          <w:highlight w:val="none"/>
        </w:rPr>
        <w:drawing>
          <wp:inline distT="0" distB="0" distL="0" distR="0">
            <wp:extent cx="8658860" cy="5452745"/>
            <wp:effectExtent l="0" t="0" r="8890" b="14605"/>
            <wp:docPr id="15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55"/>
                    <pic:cNvPicPr>
                      <a:picLocks noChangeAspect="1" noChangeArrowheads="1"/>
                    </pic:cNvPicPr>
                  </pic:nvPicPr>
                  <pic:blipFill>
                    <a:blip r:embed="rId61"/>
                    <a:srcRect/>
                    <a:stretch>
                      <a:fillRect/>
                    </a:stretch>
                  </pic:blipFill>
                  <pic:spPr>
                    <a:xfrm>
                      <a:off x="0" y="0"/>
                      <a:ext cx="8658860" cy="5452745"/>
                    </a:xfrm>
                    <a:prstGeom prst="rect">
                      <a:avLst/>
                    </a:prstGeom>
                    <a:noFill/>
                    <a:ln w="9525">
                      <a:noFill/>
                      <a:miter lim="800000"/>
                      <a:headEnd/>
                      <a:tailEnd/>
                    </a:ln>
                  </pic:spPr>
                </pic:pic>
              </a:graphicData>
            </a:graphic>
          </wp:inline>
        </w:drawing>
      </w:r>
      <w:r>
        <w:rPr>
          <w:rFonts w:hint="eastAsia"/>
          <w:color w:val="auto"/>
          <w:kern w:val="0"/>
          <w:szCs w:val="21"/>
          <w:highlight w:val="none"/>
        </w:rPr>
        <w:drawing>
          <wp:inline distT="0" distB="0" distL="0" distR="0">
            <wp:extent cx="8705850" cy="5213350"/>
            <wp:effectExtent l="0" t="0" r="0" b="6350"/>
            <wp:docPr id="190"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4"/>
                    <pic:cNvPicPr>
                      <a:picLocks noChangeAspect="1" noChangeArrowheads="1"/>
                    </pic:cNvPicPr>
                  </pic:nvPicPr>
                  <pic:blipFill>
                    <a:blip r:embed="rId62"/>
                    <a:srcRect/>
                    <a:stretch>
                      <a:fillRect/>
                    </a:stretch>
                  </pic:blipFill>
                  <pic:spPr>
                    <a:xfrm>
                      <a:off x="0" y="0"/>
                      <a:ext cx="8705850" cy="5213350"/>
                    </a:xfrm>
                    <a:prstGeom prst="rect">
                      <a:avLst/>
                    </a:prstGeom>
                    <a:noFill/>
                    <a:ln w="9525">
                      <a:noFill/>
                      <a:miter lim="800000"/>
                      <a:headEnd/>
                      <a:tailEnd/>
                    </a:ln>
                  </pic:spPr>
                </pic:pic>
              </a:graphicData>
            </a:graphic>
          </wp:inline>
        </w:drawing>
      </w:r>
      <w:r>
        <w:rPr>
          <w:rFonts w:hint="eastAsia"/>
          <w:color w:val="auto"/>
          <w:kern w:val="0"/>
          <w:szCs w:val="21"/>
          <w:highlight w:val="none"/>
        </w:rPr>
        <w:drawing>
          <wp:inline distT="0" distB="0" distL="0" distR="0">
            <wp:extent cx="8468360" cy="5676900"/>
            <wp:effectExtent l="0" t="0" r="8890" b="0"/>
            <wp:docPr id="19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53"/>
                    <pic:cNvPicPr>
                      <a:picLocks noChangeAspect="1" noChangeArrowheads="1"/>
                    </pic:cNvPicPr>
                  </pic:nvPicPr>
                  <pic:blipFill>
                    <a:blip r:embed="rId63"/>
                    <a:srcRect/>
                    <a:stretch>
                      <a:fillRect/>
                    </a:stretch>
                  </pic:blipFill>
                  <pic:spPr>
                    <a:xfrm>
                      <a:off x="0" y="0"/>
                      <a:ext cx="8468360" cy="5676900"/>
                    </a:xfrm>
                    <a:prstGeom prst="rect">
                      <a:avLst/>
                    </a:prstGeom>
                    <a:noFill/>
                    <a:ln w="9525">
                      <a:noFill/>
                      <a:miter lim="800000"/>
                      <a:headEnd/>
                      <a:tailEnd/>
                    </a:ln>
                  </pic:spPr>
                </pic:pic>
              </a:graphicData>
            </a:graphic>
          </wp:inline>
        </w:drawing>
      </w:r>
      <w:r>
        <w:rPr>
          <w:rFonts w:hint="eastAsia"/>
          <w:color w:val="auto"/>
          <w:kern w:val="0"/>
          <w:szCs w:val="21"/>
          <w:highlight w:val="none"/>
        </w:rPr>
        <w:drawing>
          <wp:inline distT="0" distB="0" distL="0" distR="0">
            <wp:extent cx="8648700" cy="5664835"/>
            <wp:effectExtent l="0" t="0" r="0" b="12065"/>
            <wp:docPr id="19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52"/>
                    <pic:cNvPicPr>
                      <a:picLocks noChangeAspect="1" noChangeArrowheads="1"/>
                    </pic:cNvPicPr>
                  </pic:nvPicPr>
                  <pic:blipFill>
                    <a:blip r:embed="rId64"/>
                    <a:srcRect/>
                    <a:stretch>
                      <a:fillRect/>
                    </a:stretch>
                  </pic:blipFill>
                  <pic:spPr>
                    <a:xfrm>
                      <a:off x="0" y="0"/>
                      <a:ext cx="8648700" cy="5664835"/>
                    </a:xfrm>
                    <a:prstGeom prst="rect">
                      <a:avLst/>
                    </a:prstGeom>
                    <a:noFill/>
                    <a:ln w="9525">
                      <a:noFill/>
                      <a:miter lim="800000"/>
                      <a:headEnd/>
                      <a:tailEnd/>
                    </a:ln>
                  </pic:spPr>
                </pic:pic>
              </a:graphicData>
            </a:graphic>
          </wp:inline>
        </w:drawing>
      </w:r>
    </w:p>
    <w:p>
      <w:pPr>
        <w:rPr>
          <w:color w:val="auto"/>
          <w:highlight w:val="none"/>
        </w:rPr>
        <w:sectPr>
          <w:headerReference r:id="rId6" w:type="default"/>
          <w:pgSz w:w="16838" w:h="11906" w:orient="landscape"/>
          <w:pgMar w:top="1304" w:right="1134" w:bottom="1304" w:left="1134" w:header="851" w:footer="992" w:gutter="0"/>
          <w:cols w:space="720" w:num="1"/>
          <w:titlePg/>
          <w:docGrid w:linePitch="312" w:charSpace="0"/>
        </w:sectPr>
      </w:pPr>
    </w:p>
    <w:p>
      <w:pPr>
        <w:pStyle w:val="714"/>
        <w:numPr>
          <w:ilvl w:val="0"/>
          <w:numId w:val="7"/>
        </w:numPr>
        <w:autoSpaceDE w:val="0"/>
        <w:autoSpaceDN w:val="0"/>
        <w:adjustRightInd w:val="0"/>
        <w:spacing w:line="360" w:lineRule="auto"/>
        <w:ind w:firstLineChars="0"/>
        <w:jc w:val="left"/>
        <w:outlineLvl w:val="1"/>
        <w:rPr>
          <w:b/>
          <w:color w:val="auto"/>
          <w:highlight w:val="none"/>
        </w:rPr>
      </w:pPr>
      <w:bookmarkStart w:id="13" w:name="_Toc19942"/>
      <w:bookmarkStart w:id="14" w:name="_Toc10032556"/>
      <w:r>
        <w:rPr>
          <w:rFonts w:hint="eastAsia"/>
          <w:b/>
          <w:color w:val="auto"/>
          <w:highlight w:val="none"/>
        </w:rPr>
        <w:t>特别说明</w:t>
      </w:r>
    </w:p>
    <w:p>
      <w:pPr>
        <w:pStyle w:val="714"/>
        <w:numPr>
          <w:ilvl w:val="255"/>
          <w:numId w:val="0"/>
        </w:numPr>
        <w:autoSpaceDE w:val="0"/>
        <w:autoSpaceDN w:val="0"/>
        <w:adjustRightInd w:val="0"/>
        <w:spacing w:line="360" w:lineRule="auto"/>
        <w:ind w:left="142" w:firstLine="420" w:firstLineChars="200"/>
        <w:jc w:val="left"/>
        <w:rPr>
          <w:bCs/>
          <w:color w:val="auto"/>
          <w:highlight w:val="none"/>
        </w:rPr>
      </w:pPr>
      <w:r>
        <w:rPr>
          <w:rFonts w:hint="eastAsia"/>
          <w:bCs/>
          <w:color w:val="auto"/>
          <w:highlight w:val="none"/>
        </w:rPr>
        <w:t>若本章所约定的处罚、违约金内容与合同相关内容不一致的，以合同约定为准。</w:t>
      </w:r>
    </w:p>
    <w:p>
      <w:pPr>
        <w:pStyle w:val="714"/>
        <w:numPr>
          <w:ilvl w:val="255"/>
          <w:numId w:val="0"/>
        </w:numPr>
        <w:autoSpaceDE w:val="0"/>
        <w:autoSpaceDN w:val="0"/>
        <w:adjustRightInd w:val="0"/>
        <w:spacing w:line="360" w:lineRule="auto"/>
        <w:ind w:left="142" w:firstLine="422" w:firstLineChars="200"/>
        <w:jc w:val="left"/>
        <w:rPr>
          <w:b/>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bookmarkStart w:id="15" w:name="_GoBack"/>
      <w:bookmarkEnd w:id="15"/>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p>
      <w:pPr>
        <w:pStyle w:val="5"/>
        <w:ind w:firstLine="0" w:firstLineChars="0"/>
        <w:jc w:val="left"/>
        <w:rPr>
          <w:color w:val="auto"/>
          <w:highlight w:val="none"/>
        </w:rPr>
      </w:pPr>
    </w:p>
    <w:bookmarkEnd w:id="2"/>
    <w:bookmarkEnd w:id="3"/>
    <w:bookmarkEnd w:id="13"/>
    <w:bookmarkEnd w:id="14"/>
    <w:p>
      <w:pPr>
        <w:ind w:right="55" w:rightChars="26"/>
        <w:rPr>
          <w:rFonts w:ascii="宋体" w:hAnsi="宋体"/>
          <w:b/>
          <w:color w:val="auto"/>
          <w:sz w:val="48"/>
          <w:szCs w:val="48"/>
          <w:highlight w:val="none"/>
        </w:rPr>
      </w:pPr>
    </w:p>
    <w:sectPr>
      <w:headerReference r:id="rId7" w:type="default"/>
      <w:footerReference r:id="rId8" w:type="default"/>
      <w:endnotePr>
        <w:numFmt w:val="decimal"/>
      </w:endnotePr>
      <w:pgSz w:w="11906" w:h="16838"/>
      <w:pgMar w:top="1134" w:right="1304" w:bottom="1134" w:left="1304" w:header="851" w:footer="488" w:gutter="0"/>
      <w:cols w:space="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ngLiU">
    <w:panose1 w:val="02020509000000000000"/>
    <w:charset w:val="88"/>
    <w:family w:val="modern"/>
    <w:pitch w:val="default"/>
    <w:sig w:usb0="A00002FF" w:usb1="28CFFCFA" w:usb2="00000016" w:usb3="00000000" w:csb0="00100001"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CF-A2¡Lq¡±oAe">
    <w:altName w:val="Arial"/>
    <w:panose1 w:val="00000000000000000000"/>
    <w:charset w:val="00"/>
    <w:family w:val="modern"/>
    <w:pitch w:val="default"/>
    <w:sig w:usb0="00000000" w:usb1="00000000" w:usb2="00000000" w:usb3="00000000" w:csb0="00000001" w:csb1="00000000"/>
  </w:font>
  <w:font w:name="Arial Unicode MS">
    <w:panose1 w:val="020B0604020202020204"/>
    <w:charset w:val="86"/>
    <w:family w:val="swiss"/>
    <w:pitch w:val="default"/>
    <w:sig w:usb0="FFFFFFFF" w:usb1="E9FFFFFF" w:usb2="0000003F" w:usb3="00000000" w:csb0="603F01FF" w:csb1="FFFF0000"/>
  </w:font>
  <w:font w:name="华文中宋">
    <w:panose1 w:val="02010600040101010101"/>
    <w:charset w:val="86"/>
    <w:family w:val="auto"/>
    <w:pitch w:val="default"/>
    <w:sig w:usb0="00000287" w:usb1="080F0000" w:usb2="00000000" w:usb3="00000000" w:csb0="0004009F" w:csb1="DFD70000"/>
  </w:font>
  <w:font w:name="Angsana New">
    <w:panose1 w:val="02020603050405020304"/>
    <w:charset w:val="DE"/>
    <w:family w:val="roman"/>
    <w:pitch w:val="default"/>
    <w:sig w:usb0="81000003" w:usb1="00000000" w:usb2="00000000" w:usb3="00000000" w:csb0="00010001" w:csb1="00000000"/>
  </w:font>
  <w:font w:name="Swis721 BT">
    <w:altName w:val="Segoe Script"/>
    <w:panose1 w:val="020B0504020202020204"/>
    <w:charset w:val="00"/>
    <w:family w:val="swiss"/>
    <w:pitch w:val="default"/>
    <w:sig w:usb0="00000000" w:usb1="00000000" w:usb2="00000000" w:usb3="00000000" w:csb0="00000000" w:csb1="00000000"/>
  </w:font>
  <w:font w:name="Calisto MT">
    <w:panose1 w:val="02040603050505030304"/>
    <w:charset w:val="00"/>
    <w:family w:val="roman"/>
    <w:pitch w:val="default"/>
    <w:sig w:usb0="00000003" w:usb1="00000000" w:usb2="00000000" w:usb3="00000000" w:csb0="20000001" w:csb1="00000000"/>
  </w:font>
  <w:font w:name="Verdana">
    <w:panose1 w:val="020B0604030504040204"/>
    <w:charset w:val="00"/>
    <w:family w:val="swiss"/>
    <w:pitch w:val="default"/>
    <w:sig w:usb0="A1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长城粗隶书">
    <w:altName w:val="宋体"/>
    <w:panose1 w:val="00000000000000000000"/>
    <w:charset w:val="7A"/>
    <w:family w:val="modern"/>
    <w:pitch w:val="default"/>
    <w:sig w:usb0="00000000" w:usb1="00000000" w:usb2="00000010" w:usb3="00000000" w:csb0="00040000" w:csb1="00000000"/>
  </w:font>
  <w:font w:name="PMingLiU">
    <w:panose1 w:val="02020500000000000000"/>
    <w:charset w:val="88"/>
    <w:family w:val="roman"/>
    <w:pitch w:val="default"/>
    <w:sig w:usb0="A00002FF" w:usb1="28CFFCFA" w:usb2="00000016" w:usb3="00000000" w:csb0="00100001" w:csb1="00000000"/>
  </w:font>
  <w:font w:name="MS Sans Serif">
    <w:altName w:val="Arial"/>
    <w:panose1 w:val="00000000000000000000"/>
    <w:charset w:val="00"/>
    <w:family w:val="auto"/>
    <w:pitch w:val="default"/>
    <w:sig w:usb0="00000000" w:usb1="00000000" w:usb2="00000000" w:usb3="00000000" w:csb0="00000001" w:csb1="00000000"/>
  </w:font>
  <w:font w:name="仿宋">
    <w:panose1 w:val="02010609060101010101"/>
    <w:charset w:val="86"/>
    <w:family w:val="modern"/>
    <w:pitch w:val="default"/>
    <w:sig w:usb0="800002BF" w:usb1="38CF7CFA" w:usb2="00000016" w:usb3="00000000" w:csb0="00040001" w:csb1="00000000"/>
  </w:font>
  <w:font w:name="Century">
    <w:panose1 w:val="02040604050505020304"/>
    <w:charset w:val="00"/>
    <w:family w:val="roman"/>
    <w:pitch w:val="default"/>
    <w:sig w:usb0="00000287" w:usb1="00000000" w:usb2="00000000" w:usb3="00000000" w:csb0="2000009F" w:csb1="DFD70000"/>
  </w:font>
  <w:font w:name="Bold">
    <w:altName w:val="Segoe Print"/>
    <w:panose1 w:val="00000000000000000000"/>
    <w:charset w:val="00"/>
    <w:family w:val="roman"/>
    <w:pitch w:val="default"/>
    <w:sig w:usb0="00000000" w:usb1="00000000" w:usb2="00000000" w:usb3="00000000" w:csb0="00000000" w:csb1="00000000"/>
  </w:font>
  <w:font w:name="FangSong,Bold">
    <w:altName w:val="宋体"/>
    <w:panose1 w:val="00000000000000000000"/>
    <w:charset w:val="86"/>
    <w:family w:val="auto"/>
    <w:pitch w:val="default"/>
    <w:sig w:usb0="00000000" w:usb1="00000000" w:usb2="00000010" w:usb3="00000000" w:csb0="00040001" w:csb1="00000000"/>
  </w:font>
  <w:font w:name="Segoe Script">
    <w:panose1 w:val="020B0504020000000003"/>
    <w:charset w:val="00"/>
    <w:family w:val="auto"/>
    <w:pitch w:val="default"/>
    <w:sig w:usb0="0000028F" w:usb1="00000000" w:usb2="00000000" w:usb3="00000000" w:csb0="0000009F"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rPr>
        <w:rFonts w:ascii="宋体" w:hAnsi="宋体"/>
        <w:sz w:val="20"/>
      </w:rPr>
    </w:pPr>
    <w:r>
      <w:rPr>
        <w:sz w:val="20"/>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1" name="文本框 2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9"/>
                          </w:pPr>
                          <w:r>
                            <w:rPr>
                              <w:rFonts w:hint="eastAsia"/>
                            </w:rPr>
                            <w:fldChar w:fldCharType="begin"/>
                          </w:r>
                          <w:r>
                            <w:rPr>
                              <w:rFonts w:hint="eastAsia"/>
                            </w:rPr>
                            <w:instrText xml:space="preserve"> PAGE  \* MERGEFORMAT </w:instrText>
                          </w:r>
                          <w:r>
                            <w:rPr>
                              <w:rFonts w:hint="eastAsia"/>
                            </w:rPr>
                            <w:fldChar w:fldCharType="separate"/>
                          </w:r>
                          <w:r>
                            <w:t>88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ENOR1EtAgAAWQQAAA4AAAAAAAAAAQAgAAAAHwEAAGRycy9lMm9Eb2MueG1sUEsFBgAAAAAG&#10;AAYAWQEAAL4FAAAAAA==&#10;">
              <v:fill on="f" focussize="0,0"/>
              <v:stroke on="f" weight="0.5pt"/>
              <v:imagedata o:title=""/>
              <o:lock v:ext="edit" aspectratio="f"/>
              <v:textbox inset="0mm,0mm,0mm,0mm" style="mso-fit-shape-to-text:t;">
                <w:txbxContent>
                  <w:p>
                    <w:pPr>
                      <w:pStyle w:val="39"/>
                    </w:pPr>
                    <w:r>
                      <w:rPr>
                        <w:rFonts w:hint="eastAsia"/>
                      </w:rPr>
                      <w:fldChar w:fldCharType="begin"/>
                    </w:r>
                    <w:r>
                      <w:rPr>
                        <w:rFonts w:hint="eastAsia"/>
                      </w:rPr>
                      <w:instrText xml:space="preserve"> PAGE  \* MERGEFORMAT </w:instrText>
                    </w:r>
                    <w:r>
                      <w:rPr>
                        <w:rFonts w:hint="eastAsia"/>
                      </w:rPr>
                      <w:fldChar w:fldCharType="separate"/>
                    </w:r>
                    <w:r>
                      <w:t>88</w:t>
                    </w:r>
                    <w:r>
                      <w:rPr>
                        <w:rFonts w:hint="eastAsia"/>
                      </w:rPr>
                      <w:fldChar w:fldCharType="end"/>
                    </w:r>
                  </w:p>
                </w:txbxContent>
              </v:textbox>
            </v:shape>
          </w:pict>
        </mc:Fallback>
      </mc:AlternateContent>
    </w:r>
    <w:r>
      <w:rPr>
        <w:sz w:val="20"/>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6" name="文本框 2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9"/>
                          </w:pPr>
                        </w:p>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g0HF4tAgAAW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Kg0HF4tAgAAWQQAAA4AAAAAAAAAAQAgAAAAHwEAAGRycy9lMm9Eb2MueG1sUEsFBgAAAAAG&#10;AAYAWQEAAL4FAAAAAA==&#10;">
              <v:fill on="f" focussize="0,0"/>
              <v:stroke on="f" weight="0.5pt"/>
              <v:imagedata o:title=""/>
              <o:lock v:ext="edit" aspectratio="f"/>
              <v:textbox inset="0mm,0mm,0mm,0mm" style="mso-fit-shape-to-text:t;">
                <w:txbxContent>
                  <w:p>
                    <w:pPr>
                      <w:pStyle w:val="39"/>
                    </w:pPr>
                  </w:p>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9"/>
      <w:tabs>
        <w:tab w:val="center" w:pos="4320"/>
        <w:tab w:val="clear" w:pos="4153"/>
      </w:tabs>
      <w:rPr>
        <w:rFonts w:ascii="宋体" w:hAnsi="宋体"/>
        <w:sz w:val="16"/>
        <w:szCs w:val="16"/>
      </w:rPr>
    </w:pPr>
    <w:r>
      <w:rPr>
        <w:sz w:val="16"/>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217" name="文本框 2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9"/>
                          </w:pPr>
                          <w:r>
                            <w:rPr>
                              <w:rFonts w:hint="eastAsia"/>
                            </w:rPr>
                            <w:fldChar w:fldCharType="begin"/>
                          </w:r>
                          <w:r>
                            <w:rPr>
                              <w:rFonts w:hint="eastAsia"/>
                            </w:rPr>
                            <w:instrText xml:space="preserve"> PAGE  \* MERGEFORMAT </w:instrText>
                          </w:r>
                          <w:r>
                            <w:rPr>
                              <w:rFonts w:hint="eastAsia"/>
                            </w:rPr>
                            <w:fldChar w:fldCharType="separate"/>
                          </w:r>
                          <w:r>
                            <w:t>89</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OAMsuAgAAWQQAAA4AAABkcnMvZTJvRG9jLnhtbK1UzY7TMBC+I/EO&#10;lu80aRFL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mTgDLLgIAAFkEAAAOAAAAAAAAAAEAIAAAAB8BAABkcnMvZTJvRG9jLnhtbFBLBQYAAAAA&#10;BgAGAFkBAAC/BQAAAAA=&#10;">
              <v:fill on="f" focussize="0,0"/>
              <v:stroke on="f" weight="0.5pt"/>
              <v:imagedata o:title=""/>
              <o:lock v:ext="edit" aspectratio="f"/>
              <v:textbox inset="0mm,0mm,0mm,0mm" style="mso-fit-shape-to-text:t;">
                <w:txbxContent>
                  <w:p>
                    <w:pPr>
                      <w:pStyle w:val="39"/>
                    </w:pPr>
                    <w:r>
                      <w:rPr>
                        <w:rFonts w:hint="eastAsia"/>
                      </w:rPr>
                      <w:fldChar w:fldCharType="begin"/>
                    </w:r>
                    <w:r>
                      <w:rPr>
                        <w:rFonts w:hint="eastAsia"/>
                      </w:rPr>
                      <w:instrText xml:space="preserve"> PAGE  \* MERGEFORMAT </w:instrText>
                    </w:r>
                    <w:r>
                      <w:rPr>
                        <w:rFonts w:hint="eastAsia"/>
                      </w:rPr>
                      <w:fldChar w:fldCharType="separate"/>
                    </w:r>
                    <w:r>
                      <w:t>89</w:t>
                    </w:r>
                    <w:r>
                      <w:rPr>
                        <w:rFonts w:hint="eastAsia"/>
                      </w:rPr>
                      <w:fldChar w:fldCharType="end"/>
                    </w:r>
                  </w:p>
                </w:txbxContent>
              </v:textbox>
            </v:shape>
          </w:pict>
        </mc:Fallback>
      </mc:AlternateContent>
    </w:r>
    <w:r>
      <w:rPr>
        <w:sz w:val="16"/>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218" name="文本框 2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9"/>
                            <w:tabs>
                              <w:tab w:val="center" w:pos="4320"/>
                              <w:tab w:val="clear" w:pos="4153"/>
                            </w:tabs>
                          </w:pPr>
                        </w:p>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4iRQctAgAAW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F4iRQctAgAAWQQAAA4AAAAAAAAAAQAgAAAAHwEAAGRycy9lMm9Eb2MueG1sUEsFBgAAAAAG&#10;AAYAWQEAAL4FAAAAAA==&#10;">
              <v:fill on="f" focussize="0,0"/>
              <v:stroke on="f" weight="0.5pt"/>
              <v:imagedata o:title=""/>
              <o:lock v:ext="edit" aspectratio="f"/>
              <v:textbox inset="0mm,0mm,0mm,0mm" style="mso-fit-shape-to-text:t;">
                <w:txbxContent>
                  <w:p>
                    <w:pPr>
                      <w:pStyle w:val="39"/>
                      <w:tabs>
                        <w:tab w:val="center" w:pos="4320"/>
                        <w:tab w:val="clear" w:pos="4153"/>
                      </w:tabs>
                    </w:pPr>
                  </w:p>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Bdr>
        <w:bottom w:val="none" w:color="auto" w:sz="0" w:space="0"/>
      </w:pBdr>
      <w:jc w:val="right"/>
      <w:rPr>
        <w:sz w:val="15"/>
        <w:szCs w:val="15"/>
        <w:u w:val="singl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Bdr>
        <w:bottom w:val="none" w:color="auto" w:sz="0" w:space="0"/>
      </w:pBdr>
      <w:rPr>
        <w:sz w:val="15"/>
        <w:szCs w:val="15"/>
        <w:u w:val="single"/>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pBdr>
        <w:bottom w:val="none" w:color="auto" w:sz="0" w:space="0"/>
      </w:pBdr>
      <w:jc w:val="right"/>
      <w:rPr>
        <w:sz w:val="15"/>
        <w:szCs w:val="15"/>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4CDB874"/>
    <w:multiLevelType w:val="multilevel"/>
    <w:tmpl w:val="C4CDB874"/>
    <w:lvl w:ilvl="0" w:tentative="0">
      <w:start w:val="1"/>
      <w:numFmt w:val="decimal"/>
      <w:lvlText w:val="%1."/>
      <w:lvlJc w:val="left"/>
      <w:pPr>
        <w:ind w:left="425" w:hanging="425"/>
      </w:pPr>
      <w:rPr>
        <w:rFonts w:hint="default"/>
      </w:rPr>
    </w:lvl>
    <w:lvl w:ilvl="1" w:tentative="0">
      <w:start w:val="1"/>
      <w:numFmt w:val="decimal"/>
      <w:lvlText w:val="7.%2."/>
      <w:lvlJc w:val="left"/>
      <w:pPr>
        <w:ind w:left="567" w:hanging="567"/>
      </w:pPr>
      <w:rPr>
        <w:rFonts w:hint="default" w:ascii="宋体" w:hAnsi="宋体" w:eastAsia="宋体" w:cs="宋体"/>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1">
    <w:nsid w:val="C52628F9"/>
    <w:multiLevelType w:val="singleLevel"/>
    <w:tmpl w:val="C52628F9"/>
    <w:lvl w:ilvl="0" w:tentative="0">
      <w:start w:val="1"/>
      <w:numFmt w:val="decimal"/>
      <w:lvlText w:val="(%1)"/>
      <w:lvlJc w:val="left"/>
      <w:pPr>
        <w:ind w:left="425" w:hanging="425"/>
      </w:pPr>
      <w:rPr>
        <w:rFonts w:hint="default"/>
      </w:rPr>
    </w:lvl>
  </w:abstractNum>
  <w:abstractNum w:abstractNumId="2">
    <w:nsid w:val="D088AA88"/>
    <w:multiLevelType w:val="multilevel"/>
    <w:tmpl w:val="D088AA88"/>
    <w:lvl w:ilvl="0" w:tentative="0">
      <w:start w:val="1"/>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F2EEE9EA"/>
    <w:multiLevelType w:val="singleLevel"/>
    <w:tmpl w:val="F2EEE9EA"/>
    <w:lvl w:ilvl="0" w:tentative="0">
      <w:start w:val="1"/>
      <w:numFmt w:val="decimal"/>
      <w:lvlText w:val="%1)"/>
      <w:lvlJc w:val="left"/>
      <w:pPr>
        <w:ind w:left="425" w:hanging="425"/>
      </w:pPr>
      <w:rPr>
        <w:rFonts w:hint="default"/>
      </w:rPr>
    </w:lvl>
  </w:abstractNum>
  <w:abstractNum w:abstractNumId="4">
    <w:nsid w:val="0000000F"/>
    <w:multiLevelType w:val="multilevel"/>
    <w:tmpl w:val="0000000F"/>
    <w:lvl w:ilvl="0" w:tentative="0">
      <w:start w:val="1"/>
      <w:numFmt w:val="decimal"/>
      <w:lvlText w:val="%1"/>
      <w:lvlJc w:val="left"/>
      <w:pPr>
        <w:tabs>
          <w:tab w:val="left" w:pos="425"/>
        </w:tabs>
        <w:ind w:left="425" w:hanging="425"/>
      </w:pPr>
      <w:rPr>
        <w:rFonts w:hint="eastAsia"/>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571"/>
        </w:tabs>
        <w:ind w:left="1418" w:hanging="567"/>
      </w:pPr>
      <w:rPr>
        <w:rFonts w:hint="eastAsia"/>
      </w:rPr>
    </w:lvl>
    <w:lvl w:ilvl="3" w:tentative="0">
      <w:start w:val="1"/>
      <w:numFmt w:val="decimal"/>
      <w:lvlText w:val="%1.%2.%3.%4"/>
      <w:lvlJc w:val="left"/>
      <w:pPr>
        <w:tabs>
          <w:tab w:val="left" w:pos="2356"/>
        </w:tabs>
        <w:ind w:left="1984" w:hanging="708"/>
      </w:pPr>
      <w:rPr>
        <w:rFonts w:hint="eastAsia"/>
      </w:rPr>
    </w:lvl>
    <w:lvl w:ilvl="4" w:tentative="0">
      <w:start w:val="1"/>
      <w:numFmt w:val="decimal"/>
      <w:lvlText w:val="%1.%2.%3.%4.%5"/>
      <w:lvlJc w:val="left"/>
      <w:pPr>
        <w:tabs>
          <w:tab w:val="left" w:pos="3141"/>
        </w:tabs>
        <w:ind w:left="2551" w:hanging="850"/>
      </w:pPr>
      <w:rPr>
        <w:rFonts w:hint="eastAsia"/>
      </w:rPr>
    </w:lvl>
    <w:lvl w:ilvl="5" w:tentative="0">
      <w:start w:val="1"/>
      <w:numFmt w:val="decimal"/>
      <w:lvlText w:val="%1.%2.%3.%4.%5.%6"/>
      <w:lvlJc w:val="left"/>
      <w:pPr>
        <w:tabs>
          <w:tab w:val="left" w:pos="3566"/>
        </w:tabs>
        <w:ind w:left="3260" w:hanging="1134"/>
      </w:pPr>
      <w:rPr>
        <w:rFonts w:hint="eastAsia"/>
      </w:rPr>
    </w:lvl>
    <w:lvl w:ilvl="6" w:tentative="0">
      <w:start w:val="1"/>
      <w:numFmt w:val="decimal"/>
      <w:lvlText w:val="%1.%2.%3.%4.%5.%6.%7"/>
      <w:lvlJc w:val="left"/>
      <w:pPr>
        <w:tabs>
          <w:tab w:val="left" w:pos="4351"/>
        </w:tabs>
        <w:ind w:left="3827" w:hanging="1276"/>
      </w:pPr>
      <w:rPr>
        <w:rFonts w:hint="eastAsia"/>
      </w:rPr>
    </w:lvl>
    <w:lvl w:ilvl="7" w:tentative="0">
      <w:start w:val="1"/>
      <w:numFmt w:val="decimal"/>
      <w:lvlText w:val="%1.%2.%3.%4.%5.%6.%7.%8"/>
      <w:lvlJc w:val="left"/>
      <w:pPr>
        <w:tabs>
          <w:tab w:val="left" w:pos="5136"/>
        </w:tabs>
        <w:ind w:left="4394" w:hanging="1418"/>
      </w:pPr>
      <w:rPr>
        <w:rFonts w:hint="eastAsia"/>
      </w:rPr>
    </w:lvl>
    <w:lvl w:ilvl="8" w:tentative="0">
      <w:start w:val="1"/>
      <w:numFmt w:val="decimal"/>
      <w:lvlText w:val="%1.%2.%3.%4.%5.%6.%7.%8.%9"/>
      <w:lvlJc w:val="left"/>
      <w:pPr>
        <w:tabs>
          <w:tab w:val="left" w:pos="5562"/>
        </w:tabs>
        <w:ind w:left="5102" w:hanging="1700"/>
      </w:pPr>
      <w:rPr>
        <w:rFonts w:hint="eastAsia"/>
      </w:rPr>
    </w:lvl>
  </w:abstractNum>
  <w:abstractNum w:abstractNumId="5">
    <w:nsid w:val="00000016"/>
    <w:multiLevelType w:val="multilevel"/>
    <w:tmpl w:val="00000016"/>
    <w:lvl w:ilvl="0" w:tentative="0">
      <w:start w:val="1"/>
      <w:numFmt w:val="lowerLetter"/>
      <w:lvlText w:val="%1"/>
      <w:lvlJc w:val="left"/>
      <w:pPr>
        <w:tabs>
          <w:tab w:val="left" w:pos="1620"/>
        </w:tabs>
        <w:ind w:left="1620" w:hanging="1200"/>
      </w:pPr>
      <w:rPr>
        <w:rFonts w:hint="eastAsia"/>
        <w:b w:val="0"/>
        <w:i w:val="0"/>
      </w:rPr>
    </w:lvl>
    <w:lvl w:ilvl="1" w:tentative="0">
      <w:start w:val="1"/>
      <w:numFmt w:val="chineseCountingThousand"/>
      <w:lvlText w:val="第%2条"/>
      <w:lvlJc w:val="left"/>
      <w:pPr>
        <w:tabs>
          <w:tab w:val="left" w:pos="794"/>
        </w:tabs>
        <w:ind w:left="794" w:hanging="794"/>
      </w:pPr>
      <w:rPr>
        <w:rFonts w:hint="eastAsia"/>
      </w:rPr>
    </w:lvl>
    <w:lvl w:ilvl="2" w:tentative="0">
      <w:start w:val="1"/>
      <w:numFmt w:val="decimal"/>
      <w:lvlText w:val="2.%3."/>
      <w:lvlJc w:val="left"/>
      <w:pPr>
        <w:tabs>
          <w:tab w:val="left" w:pos="794"/>
        </w:tabs>
        <w:ind w:left="794" w:hanging="794"/>
      </w:pPr>
      <w:rPr>
        <w:rFonts w:hint="eastAsia"/>
      </w:rPr>
    </w:lvl>
    <w:lvl w:ilvl="3" w:tentative="0">
      <w:start w:val="1"/>
      <w:numFmt w:val="decimal"/>
      <w:lvlText w:val="%4、"/>
      <w:lvlJc w:val="left"/>
      <w:pPr>
        <w:tabs>
          <w:tab w:val="left" w:pos="1620"/>
        </w:tabs>
        <w:ind w:left="1620" w:hanging="360"/>
      </w:pPr>
      <w:rPr>
        <w:rFonts w:hint="eastAsia"/>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000004C"/>
    <w:multiLevelType w:val="multilevel"/>
    <w:tmpl w:val="0000004C"/>
    <w:lvl w:ilvl="0" w:tentative="0">
      <w:start w:val="1"/>
      <w:numFmt w:val="decimal"/>
      <w:pStyle w:val="685"/>
      <w:lvlText w:val="%1."/>
      <w:lvlJc w:val="left"/>
      <w:pPr>
        <w:tabs>
          <w:tab w:val="left" w:pos="425"/>
        </w:tabs>
        <w:ind w:left="425" w:hanging="425"/>
      </w:pPr>
      <w:rPr>
        <w:rFonts w:hint="eastAsia"/>
      </w:rPr>
    </w:lvl>
    <w:lvl w:ilvl="1" w:tentative="0">
      <w:start w:val="1"/>
      <w:numFmt w:val="decimal"/>
      <w:lvlText w:val="%1.%2"/>
      <w:lvlJc w:val="left"/>
      <w:pPr>
        <w:tabs>
          <w:tab w:val="left" w:pos="927"/>
        </w:tabs>
        <w:ind w:left="927" w:hanging="567"/>
      </w:pPr>
      <w:rPr>
        <w:rFonts w:hint="eastAsia" w:ascii="宋体" w:hAnsi="宋体" w:eastAsia="宋体"/>
        <w:b w:val="0"/>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7">
    <w:nsid w:val="08413997"/>
    <w:multiLevelType w:val="multilevel"/>
    <w:tmpl w:val="08413997"/>
    <w:lvl w:ilvl="0" w:tentative="0">
      <w:start w:val="1"/>
      <w:numFmt w:val="decimal"/>
      <w:lvlText w:val="%1."/>
      <w:lvlJc w:val="left"/>
      <w:pPr>
        <w:ind w:left="425" w:hanging="425"/>
      </w:pPr>
      <w:rPr>
        <w:rFonts w:hint="default"/>
      </w:rPr>
    </w:lvl>
    <w:lvl w:ilvl="1" w:tentative="0">
      <w:start w:val="1"/>
      <w:numFmt w:val="decimal"/>
      <w:lvlText w:val="6.%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8">
    <w:nsid w:val="0A7A3A49"/>
    <w:multiLevelType w:val="multilevel"/>
    <w:tmpl w:val="0A7A3A49"/>
    <w:lvl w:ilvl="0" w:tentative="0">
      <w:start w:val="1"/>
      <w:numFmt w:val="decimal"/>
      <w:lvlText w:val="%1."/>
      <w:lvlJc w:val="left"/>
      <w:pPr>
        <w:ind w:left="425" w:hanging="425"/>
      </w:pPr>
      <w:rPr>
        <w:rFonts w:hint="default"/>
      </w:rPr>
    </w:lvl>
    <w:lvl w:ilvl="1" w:tentative="0">
      <w:start w:val="1"/>
      <w:numFmt w:val="decimal"/>
      <w:lvlText w:val="2.%2."/>
      <w:lvlJc w:val="left"/>
      <w:pPr>
        <w:ind w:left="567" w:hanging="567"/>
      </w:pPr>
      <w:rPr>
        <w:rFonts w:hint="default" w:ascii="宋体" w:hAnsi="宋体" w:eastAsia="宋体" w:cs="宋体"/>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9">
    <w:nsid w:val="154409CF"/>
    <w:multiLevelType w:val="multilevel"/>
    <w:tmpl w:val="154409CF"/>
    <w:lvl w:ilvl="0" w:tentative="0">
      <w:start w:val="4"/>
      <w:numFmt w:val="japaneseCounting"/>
      <w:lvlText w:val="%1、"/>
      <w:lvlJc w:val="left"/>
      <w:pPr>
        <w:ind w:left="1854" w:hanging="720"/>
      </w:pPr>
      <w:rPr>
        <w:rFonts w:hint="default"/>
      </w:rPr>
    </w:lvl>
    <w:lvl w:ilvl="1" w:tentative="0">
      <w:start w:val="1"/>
      <w:numFmt w:val="chineseCountingThousand"/>
      <w:lvlText w:val="第%2节  "/>
      <w:lvlJc w:val="left"/>
      <w:pPr>
        <w:tabs>
          <w:tab w:val="left" w:pos="3545"/>
        </w:tabs>
        <w:ind w:left="3545" w:firstLine="0"/>
      </w:pPr>
      <w:rPr>
        <w:rFonts w:hint="eastAsia"/>
      </w:rPr>
    </w:lvl>
    <w:lvl w:ilvl="2" w:tentative="0">
      <w:start w:val="1"/>
      <w:numFmt w:val="chineseCountingThousand"/>
      <w:pStyle w:val="716"/>
      <w:lvlText w:val="%3."/>
      <w:lvlJc w:val="left"/>
      <w:pPr>
        <w:tabs>
          <w:tab w:val="left" w:pos="360"/>
        </w:tabs>
        <w:ind w:left="0" w:firstLine="0"/>
      </w:pPr>
      <w:rPr>
        <w:rFonts w:hint="eastAsia"/>
        <w:lang w:val="en-US"/>
      </w:rPr>
    </w:lvl>
    <w:lvl w:ilvl="3" w:tentative="0">
      <w:start w:val="1"/>
      <w:numFmt w:val="chineseCountingThousand"/>
      <w:lvlText w:val="(%4)."/>
      <w:lvlJc w:val="left"/>
      <w:pPr>
        <w:tabs>
          <w:tab w:val="left" w:pos="0"/>
        </w:tabs>
        <w:ind w:left="567" w:firstLine="0"/>
      </w:pPr>
      <w:rPr>
        <w:rFonts w:hint="eastAsia"/>
      </w:rPr>
    </w:lvl>
    <w:lvl w:ilvl="4" w:tentative="0">
      <w:start w:val="1"/>
      <w:numFmt w:val="decimal"/>
      <w:suff w:val="nothing"/>
      <w:lvlText w:val="%5."/>
      <w:lvlJc w:val="left"/>
      <w:pPr>
        <w:ind w:left="426" w:firstLine="0"/>
      </w:pPr>
      <w:rPr>
        <w:rFonts w:hint="eastAsia"/>
      </w:rPr>
    </w:lvl>
    <w:lvl w:ilvl="5" w:tentative="0">
      <w:start w:val="1"/>
      <w:numFmt w:val="decimal"/>
      <w:suff w:val="nothing"/>
      <w:lvlText w:val="(%6)."/>
      <w:lvlJc w:val="left"/>
      <w:pPr>
        <w:ind w:left="0" w:firstLine="0"/>
      </w:pPr>
      <w:rPr>
        <w:rFonts w:hint="eastAsia"/>
      </w:rPr>
    </w:lvl>
    <w:lvl w:ilvl="6" w:tentative="0">
      <w:start w:val="1"/>
      <w:numFmt w:val="decimal"/>
      <w:lvlText w:val="%7)."/>
      <w:lvlJc w:val="left"/>
      <w:pPr>
        <w:tabs>
          <w:tab w:val="left" w:pos="720"/>
        </w:tabs>
        <w:ind w:left="0" w:firstLine="0"/>
      </w:pPr>
      <w:rPr>
        <w:rFonts w:hint="eastAsia"/>
      </w:rPr>
    </w:lvl>
    <w:lvl w:ilvl="7" w:tentative="0">
      <w:start w:val="1"/>
      <w:numFmt w:val="upperLetter"/>
      <w:lvlText w:val="%8."/>
      <w:lvlJc w:val="left"/>
      <w:pPr>
        <w:tabs>
          <w:tab w:val="left" w:pos="0"/>
        </w:tabs>
        <w:ind w:left="0" w:firstLine="0"/>
      </w:pPr>
      <w:rPr>
        <w:rFonts w:hint="eastAsia"/>
      </w:rPr>
    </w:lvl>
    <w:lvl w:ilvl="8" w:tentative="0">
      <w:start w:val="1"/>
      <w:numFmt w:val="lowerLetter"/>
      <w:lvlText w:val="%9."/>
      <w:lvlJc w:val="left"/>
      <w:pPr>
        <w:tabs>
          <w:tab w:val="left" w:pos="0"/>
        </w:tabs>
        <w:ind w:left="0" w:firstLine="0"/>
      </w:pPr>
      <w:rPr>
        <w:rFonts w:hint="eastAsia"/>
      </w:rPr>
    </w:lvl>
  </w:abstractNum>
  <w:abstractNum w:abstractNumId="10">
    <w:nsid w:val="19B0484D"/>
    <w:multiLevelType w:val="multilevel"/>
    <w:tmpl w:val="19B0484D"/>
    <w:lvl w:ilvl="0" w:tentative="0">
      <w:start w:val="1"/>
      <w:numFmt w:val="decimal"/>
      <w:lvlText w:val="%1."/>
      <w:lvlJc w:val="left"/>
      <w:pPr>
        <w:ind w:left="425" w:hanging="425"/>
      </w:pPr>
      <w:rPr>
        <w:rFonts w:hint="default"/>
      </w:rPr>
    </w:lvl>
    <w:lvl w:ilvl="1" w:tentative="0">
      <w:start w:val="1"/>
      <w:numFmt w:val="decimal"/>
      <w:lvlText w:val="12.%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1">
    <w:nsid w:val="24C3C901"/>
    <w:multiLevelType w:val="singleLevel"/>
    <w:tmpl w:val="24C3C901"/>
    <w:lvl w:ilvl="0" w:tentative="0">
      <w:start w:val="1"/>
      <w:numFmt w:val="decimal"/>
      <w:lvlText w:val="(%1)"/>
      <w:lvlJc w:val="left"/>
      <w:pPr>
        <w:ind w:left="845" w:hanging="425"/>
      </w:pPr>
      <w:rPr>
        <w:rFonts w:hint="default"/>
      </w:rPr>
    </w:lvl>
  </w:abstractNum>
  <w:abstractNum w:abstractNumId="12">
    <w:nsid w:val="27309BDE"/>
    <w:multiLevelType w:val="multilevel"/>
    <w:tmpl w:val="27309BDE"/>
    <w:lvl w:ilvl="0" w:tentative="0">
      <w:start w:val="1"/>
      <w:numFmt w:val="decimal"/>
      <w:lvlText w:val="%1."/>
      <w:lvlJc w:val="left"/>
      <w:pPr>
        <w:ind w:left="425" w:hanging="425"/>
      </w:pPr>
      <w:rPr>
        <w:rFonts w:hint="default"/>
      </w:rPr>
    </w:lvl>
    <w:lvl w:ilvl="1" w:tentative="0">
      <w:start w:val="1"/>
      <w:numFmt w:val="decimal"/>
      <w:lvlText w:val="4.%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3">
    <w:nsid w:val="294B4D25"/>
    <w:multiLevelType w:val="multilevel"/>
    <w:tmpl w:val="294B4D25"/>
    <w:lvl w:ilvl="0" w:tentative="0">
      <w:start w:val="1"/>
      <w:numFmt w:val="decimal"/>
      <w:lvlText w:val="%1."/>
      <w:lvlJc w:val="left"/>
      <w:pPr>
        <w:ind w:left="425" w:hanging="425"/>
      </w:pPr>
      <w:rPr>
        <w:rFonts w:hint="default"/>
      </w:rPr>
    </w:lvl>
    <w:lvl w:ilvl="1" w:tentative="0">
      <w:start w:val="1"/>
      <w:numFmt w:val="decimal"/>
      <w:lvlText w:val="14.%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4">
    <w:nsid w:val="2D4EF1DD"/>
    <w:multiLevelType w:val="multilevel"/>
    <w:tmpl w:val="2D4EF1DD"/>
    <w:lvl w:ilvl="0" w:tentative="0">
      <w:start w:val="1"/>
      <w:numFmt w:val="decimal"/>
      <w:lvlText w:val="%1."/>
      <w:lvlJc w:val="left"/>
      <w:pPr>
        <w:ind w:left="425" w:hanging="425"/>
      </w:pPr>
      <w:rPr>
        <w:rFonts w:hint="default"/>
      </w:rPr>
    </w:lvl>
    <w:lvl w:ilvl="1" w:tentative="0">
      <w:start w:val="1"/>
      <w:numFmt w:val="decimal"/>
      <w:lvlText w:val="10.%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30560BD7"/>
    <w:multiLevelType w:val="multilevel"/>
    <w:tmpl w:val="30560BD7"/>
    <w:lvl w:ilvl="0" w:tentative="0">
      <w:start w:val="1"/>
      <w:numFmt w:val="japaneseCounting"/>
      <w:lvlText w:val="%1、"/>
      <w:lvlJc w:val="left"/>
      <w:pPr>
        <w:ind w:left="592" w:hanging="450"/>
      </w:pPr>
      <w:rPr>
        <w:rFonts w:hint="eastAsia"/>
        <w:b/>
        <w:bCs/>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46E1666C"/>
    <w:multiLevelType w:val="multilevel"/>
    <w:tmpl w:val="46E1666C"/>
    <w:lvl w:ilvl="0" w:tentative="0">
      <w:start w:val="18"/>
      <w:numFmt w:val="decimal"/>
      <w:lvlText w:val="18.%1"/>
      <w:lvlJc w:val="left"/>
      <w:pPr>
        <w:ind w:left="420" w:hanging="420"/>
      </w:pPr>
      <w:rPr>
        <w:rFonts w:hint="eastAsia"/>
      </w:rPr>
    </w:lvl>
    <w:lvl w:ilvl="1" w:tentative="0">
      <w:start w:val="1"/>
      <w:numFmt w:val="decimal"/>
      <w:pStyle w:val="197"/>
      <w:lvlText w:val="%2."/>
      <w:lvlJc w:val="left"/>
      <w:pPr>
        <w:ind w:left="840" w:hanging="420"/>
      </w:pPr>
      <w:rPr>
        <w:rFonts w:hint="eastAsia"/>
        <w:b w:val="0"/>
        <w:bCs w:val="0"/>
      </w:rPr>
    </w:lvl>
    <w:lvl w:ilvl="2" w:tentative="0">
      <w:start w:val="1"/>
      <w:numFmt w:val="decimal"/>
      <w:lvlText w:val="%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7">
    <w:nsid w:val="485821DC"/>
    <w:multiLevelType w:val="multilevel"/>
    <w:tmpl w:val="485821DC"/>
    <w:lvl w:ilvl="0" w:tentative="0">
      <w:start w:val="1"/>
      <w:numFmt w:val="decimal"/>
      <w:pStyle w:val="612"/>
      <w:lvlText w:val="%1)"/>
      <w:lvlJc w:val="left"/>
      <w:pPr>
        <w:ind w:left="840" w:hanging="420"/>
      </w:pPr>
      <w:rPr>
        <w:color w:val="auto"/>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8">
    <w:nsid w:val="49EA7230"/>
    <w:multiLevelType w:val="multilevel"/>
    <w:tmpl w:val="49EA7230"/>
    <w:lvl w:ilvl="0" w:tentative="0">
      <w:start w:val="1"/>
      <w:numFmt w:val="decimal"/>
      <w:lvlText w:val="%1."/>
      <w:lvlJc w:val="left"/>
      <w:pPr>
        <w:ind w:left="425" w:hanging="425"/>
      </w:pPr>
      <w:rPr>
        <w:rFonts w:hint="default"/>
      </w:rPr>
    </w:lvl>
    <w:lvl w:ilvl="1" w:tentative="0">
      <w:start w:val="1"/>
      <w:numFmt w:val="decimal"/>
      <w:lvlText w:val="13.%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9">
    <w:nsid w:val="51432B0D"/>
    <w:multiLevelType w:val="multilevel"/>
    <w:tmpl w:val="51432B0D"/>
    <w:lvl w:ilvl="0" w:tentative="0">
      <w:start w:val="1"/>
      <w:numFmt w:val="lowerLetter"/>
      <w:pStyle w:val="585"/>
      <w:lvlText w:val="%1)"/>
      <w:lvlJc w:val="left"/>
      <w:pPr>
        <w:ind w:left="1430" w:hanging="420"/>
      </w:pPr>
      <w:rPr>
        <w:rFonts w:hint="eastAsia"/>
        <w:b w:val="0"/>
        <w:color w:val="auto"/>
      </w:rPr>
    </w:lvl>
    <w:lvl w:ilvl="1" w:tentative="0">
      <w:start w:val="1"/>
      <w:numFmt w:val="lowerRoman"/>
      <w:lvlText w:val="%2."/>
      <w:lvlJc w:val="right"/>
      <w:pPr>
        <w:ind w:left="1850" w:hanging="420"/>
      </w:pPr>
      <w:rPr>
        <w:rFonts w:hint="eastAsia"/>
      </w:rPr>
    </w:lvl>
    <w:lvl w:ilvl="2" w:tentative="0">
      <w:start w:val="1"/>
      <w:numFmt w:val="lowerRoman"/>
      <w:lvlText w:val="%3."/>
      <w:lvlJc w:val="right"/>
      <w:pPr>
        <w:ind w:left="2270" w:hanging="420"/>
      </w:pPr>
      <w:rPr>
        <w:rFonts w:hint="eastAsia"/>
      </w:rPr>
    </w:lvl>
    <w:lvl w:ilvl="3" w:tentative="0">
      <w:start w:val="1"/>
      <w:numFmt w:val="decimal"/>
      <w:lvlText w:val="%4、"/>
      <w:lvlJc w:val="left"/>
      <w:pPr>
        <w:ind w:left="2630" w:hanging="360"/>
      </w:pPr>
      <w:rPr>
        <w:rFonts w:hint="default"/>
      </w:rPr>
    </w:lvl>
    <w:lvl w:ilvl="4" w:tentative="0">
      <w:start w:val="1"/>
      <w:numFmt w:val="lowerLetter"/>
      <w:lvlText w:val="%5)"/>
      <w:lvlJc w:val="left"/>
      <w:pPr>
        <w:ind w:left="3110" w:hanging="420"/>
      </w:pPr>
      <w:rPr>
        <w:rFonts w:hint="eastAsia"/>
      </w:rPr>
    </w:lvl>
    <w:lvl w:ilvl="5" w:tentative="0">
      <w:start w:val="1"/>
      <w:numFmt w:val="lowerRoman"/>
      <w:lvlText w:val="%6."/>
      <w:lvlJc w:val="right"/>
      <w:pPr>
        <w:ind w:left="3530" w:hanging="420"/>
      </w:pPr>
      <w:rPr>
        <w:rFonts w:hint="eastAsia"/>
      </w:rPr>
    </w:lvl>
    <w:lvl w:ilvl="6" w:tentative="0">
      <w:start w:val="1"/>
      <w:numFmt w:val="decimal"/>
      <w:lvlText w:val="%7."/>
      <w:lvlJc w:val="left"/>
      <w:pPr>
        <w:ind w:left="3950" w:hanging="420"/>
      </w:pPr>
      <w:rPr>
        <w:rFonts w:hint="eastAsia"/>
      </w:rPr>
    </w:lvl>
    <w:lvl w:ilvl="7" w:tentative="0">
      <w:start w:val="1"/>
      <w:numFmt w:val="lowerLetter"/>
      <w:lvlText w:val="%8)"/>
      <w:lvlJc w:val="left"/>
      <w:pPr>
        <w:ind w:left="4370" w:hanging="420"/>
      </w:pPr>
      <w:rPr>
        <w:rFonts w:hint="eastAsia"/>
      </w:rPr>
    </w:lvl>
    <w:lvl w:ilvl="8" w:tentative="0">
      <w:start w:val="1"/>
      <w:numFmt w:val="lowerRoman"/>
      <w:lvlText w:val="%9."/>
      <w:lvlJc w:val="right"/>
      <w:pPr>
        <w:ind w:left="4790" w:hanging="420"/>
      </w:pPr>
      <w:rPr>
        <w:rFonts w:hint="eastAsia"/>
      </w:rPr>
    </w:lvl>
  </w:abstractNum>
  <w:abstractNum w:abstractNumId="20">
    <w:nsid w:val="574C95D7"/>
    <w:multiLevelType w:val="multilevel"/>
    <w:tmpl w:val="574C95D7"/>
    <w:lvl w:ilvl="0" w:tentative="0">
      <w:start w:val="1"/>
      <w:numFmt w:val="decimal"/>
      <w:lvlText w:val="%1."/>
      <w:lvlJc w:val="left"/>
      <w:pPr>
        <w:ind w:left="425" w:hanging="425"/>
      </w:pPr>
      <w:rPr>
        <w:rFonts w:hint="default"/>
      </w:rPr>
    </w:lvl>
    <w:lvl w:ilvl="1" w:tentative="0">
      <w:start w:val="1"/>
      <w:numFmt w:val="decimal"/>
      <w:lvlText w:val="23.%2"/>
      <w:lvlJc w:val="left"/>
      <w:pPr>
        <w:ind w:left="850" w:hanging="453"/>
      </w:pPr>
      <w:rPr>
        <w:rFonts w:hint="default" w:ascii="宋体" w:hAnsi="宋体" w:eastAsia="宋体" w:cs="宋体"/>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1">
    <w:nsid w:val="5816EBD1"/>
    <w:multiLevelType w:val="multilevel"/>
    <w:tmpl w:val="5816EBD1"/>
    <w:lvl w:ilvl="0" w:tentative="0">
      <w:start w:val="1"/>
      <w:numFmt w:val="lowerLetter"/>
      <w:pStyle w:val="602"/>
      <w:lvlText w:val="%1)"/>
      <w:lvlJc w:val="left"/>
      <w:pPr>
        <w:ind w:left="1260" w:hanging="420"/>
      </w:pPr>
      <w:rPr>
        <w:rFonts w:hint="eastAsia"/>
        <w:b w:val="0"/>
        <w:color w:val="auto"/>
      </w:rPr>
    </w:lvl>
    <w:lvl w:ilvl="1" w:tentative="0">
      <w:start w:val="1"/>
      <w:numFmt w:val="lowerRoman"/>
      <w:lvlText w:val="%2."/>
      <w:lvlJc w:val="right"/>
      <w:pPr>
        <w:ind w:left="1680" w:hanging="420"/>
      </w:pPr>
      <w:rPr>
        <w:rFonts w:hint="eastAsia"/>
      </w:rPr>
    </w:lvl>
    <w:lvl w:ilvl="2" w:tentative="0">
      <w:start w:val="1"/>
      <w:numFmt w:val="lowerRoman"/>
      <w:lvlText w:val="%3."/>
      <w:lvlJc w:val="right"/>
      <w:pPr>
        <w:ind w:left="2100" w:hanging="420"/>
      </w:pPr>
      <w:rPr>
        <w:rFonts w:hint="eastAsia"/>
      </w:rPr>
    </w:lvl>
    <w:lvl w:ilvl="3" w:tentative="0">
      <w:start w:val="1"/>
      <w:numFmt w:val="decimal"/>
      <w:lvlText w:val="%4、"/>
      <w:lvlJc w:val="left"/>
      <w:pPr>
        <w:ind w:left="2460" w:hanging="360"/>
      </w:pPr>
      <w:rPr>
        <w:rFonts w:hint="default"/>
      </w:rPr>
    </w:lvl>
    <w:lvl w:ilvl="4" w:tentative="0">
      <w:start w:val="1"/>
      <w:numFmt w:val="lowerLetter"/>
      <w:lvlText w:val="%5)"/>
      <w:lvlJc w:val="left"/>
      <w:pPr>
        <w:ind w:left="2940" w:hanging="420"/>
      </w:pPr>
      <w:rPr>
        <w:rFonts w:hint="eastAsia"/>
      </w:rPr>
    </w:lvl>
    <w:lvl w:ilvl="5" w:tentative="0">
      <w:start w:val="1"/>
      <w:numFmt w:val="lowerRoman"/>
      <w:lvlText w:val="%6."/>
      <w:lvlJc w:val="right"/>
      <w:pPr>
        <w:ind w:left="3360" w:hanging="420"/>
      </w:pPr>
      <w:rPr>
        <w:rFonts w:hint="eastAsia"/>
      </w:rPr>
    </w:lvl>
    <w:lvl w:ilvl="6" w:tentative="0">
      <w:start w:val="1"/>
      <w:numFmt w:val="decimal"/>
      <w:lvlText w:val="%7."/>
      <w:lvlJc w:val="left"/>
      <w:pPr>
        <w:ind w:left="3780" w:hanging="420"/>
      </w:pPr>
      <w:rPr>
        <w:rFonts w:hint="eastAsia"/>
      </w:rPr>
    </w:lvl>
    <w:lvl w:ilvl="7" w:tentative="0">
      <w:start w:val="1"/>
      <w:numFmt w:val="lowerLetter"/>
      <w:lvlText w:val="%8)"/>
      <w:lvlJc w:val="left"/>
      <w:pPr>
        <w:ind w:left="4200" w:hanging="420"/>
      </w:pPr>
      <w:rPr>
        <w:rFonts w:hint="eastAsia"/>
      </w:rPr>
    </w:lvl>
    <w:lvl w:ilvl="8" w:tentative="0">
      <w:start w:val="1"/>
      <w:numFmt w:val="lowerRoman"/>
      <w:lvlText w:val="%9."/>
      <w:lvlJc w:val="right"/>
      <w:pPr>
        <w:ind w:left="4620" w:hanging="420"/>
      </w:pPr>
      <w:rPr>
        <w:rFonts w:hint="eastAsia"/>
      </w:rPr>
    </w:lvl>
  </w:abstractNum>
  <w:abstractNum w:abstractNumId="22">
    <w:nsid w:val="6943084A"/>
    <w:multiLevelType w:val="singleLevel"/>
    <w:tmpl w:val="6943084A"/>
    <w:lvl w:ilvl="0" w:tentative="0">
      <w:start w:val="4"/>
      <w:numFmt w:val="decimal"/>
      <w:lvlText w:val="%1."/>
      <w:lvlJc w:val="left"/>
      <w:pPr>
        <w:tabs>
          <w:tab w:val="left" w:pos="312"/>
        </w:tabs>
      </w:pPr>
    </w:lvl>
  </w:abstractNum>
  <w:num w:numId="1">
    <w:abstractNumId w:val="16"/>
  </w:num>
  <w:num w:numId="2">
    <w:abstractNumId w:val="19"/>
  </w:num>
  <w:num w:numId="3">
    <w:abstractNumId w:val="21"/>
  </w:num>
  <w:num w:numId="4">
    <w:abstractNumId w:val="17"/>
  </w:num>
  <w:num w:numId="5">
    <w:abstractNumId w:val="6"/>
  </w:num>
  <w:num w:numId="6">
    <w:abstractNumId w:val="9"/>
  </w:num>
  <w:num w:numId="7">
    <w:abstractNumId w:val="15"/>
  </w:num>
  <w:num w:numId="8">
    <w:abstractNumId w:val="2"/>
  </w:num>
  <w:num w:numId="9">
    <w:abstractNumId w:val="1"/>
  </w:num>
  <w:num w:numId="10">
    <w:abstractNumId w:val="8"/>
  </w:num>
  <w:num w:numId="11">
    <w:abstractNumId w:val="11"/>
  </w:num>
  <w:num w:numId="12">
    <w:abstractNumId w:val="12"/>
  </w:num>
  <w:num w:numId="13">
    <w:abstractNumId w:val="22"/>
  </w:num>
  <w:num w:numId="14">
    <w:abstractNumId w:val="4"/>
  </w:num>
  <w:num w:numId="15">
    <w:abstractNumId w:val="5"/>
  </w:num>
  <w:num w:numId="16">
    <w:abstractNumId w:val="7"/>
  </w:num>
  <w:num w:numId="17">
    <w:abstractNumId w:val="0"/>
  </w:num>
  <w:num w:numId="18">
    <w:abstractNumId w:val="3"/>
  </w:num>
  <w:num w:numId="19">
    <w:abstractNumId w:val="14"/>
  </w:num>
  <w:num w:numId="20">
    <w:abstractNumId w:val="10"/>
  </w:num>
  <w:num w:numId="21">
    <w:abstractNumId w:val="18"/>
  </w:num>
  <w:num w:numId="22">
    <w:abstractNumId w:val="13"/>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210"/>
  <w:drawingGridHorizontalSpacing w:val="105"/>
  <w:drawingGridVerticalSpacing w:val="156"/>
  <w:displayHorizont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kyYTFkNzA2ODliMDhkNWZhMjNjNzJhYzc3ODBjNzQifQ=="/>
  </w:docVars>
  <w:rsids>
    <w:rsidRoot w:val="00607509"/>
    <w:rsid w:val="000015C1"/>
    <w:rsid w:val="00001806"/>
    <w:rsid w:val="00001AA1"/>
    <w:rsid w:val="00002362"/>
    <w:rsid w:val="000025C8"/>
    <w:rsid w:val="00002F70"/>
    <w:rsid w:val="00003569"/>
    <w:rsid w:val="000038C2"/>
    <w:rsid w:val="00003CF8"/>
    <w:rsid w:val="00004267"/>
    <w:rsid w:val="000048F7"/>
    <w:rsid w:val="00004970"/>
    <w:rsid w:val="00005965"/>
    <w:rsid w:val="00005D97"/>
    <w:rsid w:val="00005EF8"/>
    <w:rsid w:val="00005FA8"/>
    <w:rsid w:val="00006DAA"/>
    <w:rsid w:val="00006DB9"/>
    <w:rsid w:val="000073FB"/>
    <w:rsid w:val="0001087C"/>
    <w:rsid w:val="000108E6"/>
    <w:rsid w:val="000110CE"/>
    <w:rsid w:val="000116B9"/>
    <w:rsid w:val="00011DE8"/>
    <w:rsid w:val="00012543"/>
    <w:rsid w:val="000125A0"/>
    <w:rsid w:val="0001304C"/>
    <w:rsid w:val="000131B8"/>
    <w:rsid w:val="0001424D"/>
    <w:rsid w:val="0001454A"/>
    <w:rsid w:val="00014583"/>
    <w:rsid w:val="00014B54"/>
    <w:rsid w:val="00015888"/>
    <w:rsid w:val="00016299"/>
    <w:rsid w:val="000166AE"/>
    <w:rsid w:val="00016D87"/>
    <w:rsid w:val="00017647"/>
    <w:rsid w:val="00017EDB"/>
    <w:rsid w:val="0002092E"/>
    <w:rsid w:val="00020ADC"/>
    <w:rsid w:val="00020D77"/>
    <w:rsid w:val="00020FEF"/>
    <w:rsid w:val="000215A4"/>
    <w:rsid w:val="00021BF4"/>
    <w:rsid w:val="000230BF"/>
    <w:rsid w:val="0002538C"/>
    <w:rsid w:val="000254C1"/>
    <w:rsid w:val="00025ECB"/>
    <w:rsid w:val="00026185"/>
    <w:rsid w:val="000265D1"/>
    <w:rsid w:val="00026630"/>
    <w:rsid w:val="00030629"/>
    <w:rsid w:val="00030640"/>
    <w:rsid w:val="000310C3"/>
    <w:rsid w:val="00031222"/>
    <w:rsid w:val="000331EA"/>
    <w:rsid w:val="0003325B"/>
    <w:rsid w:val="00033B40"/>
    <w:rsid w:val="000344D5"/>
    <w:rsid w:val="00034675"/>
    <w:rsid w:val="00035C53"/>
    <w:rsid w:val="00035F81"/>
    <w:rsid w:val="00036DB7"/>
    <w:rsid w:val="00037CB3"/>
    <w:rsid w:val="00037E88"/>
    <w:rsid w:val="0004008D"/>
    <w:rsid w:val="000407A1"/>
    <w:rsid w:val="00041630"/>
    <w:rsid w:val="000433CB"/>
    <w:rsid w:val="000434D6"/>
    <w:rsid w:val="000435B1"/>
    <w:rsid w:val="00043765"/>
    <w:rsid w:val="00043DCE"/>
    <w:rsid w:val="0004585A"/>
    <w:rsid w:val="0004648E"/>
    <w:rsid w:val="000465F7"/>
    <w:rsid w:val="000469E2"/>
    <w:rsid w:val="0004720D"/>
    <w:rsid w:val="00047507"/>
    <w:rsid w:val="00047BFF"/>
    <w:rsid w:val="000500FC"/>
    <w:rsid w:val="000508CC"/>
    <w:rsid w:val="00051561"/>
    <w:rsid w:val="00051F6A"/>
    <w:rsid w:val="00052EC9"/>
    <w:rsid w:val="000533E8"/>
    <w:rsid w:val="00053A37"/>
    <w:rsid w:val="00053AEA"/>
    <w:rsid w:val="00053DFC"/>
    <w:rsid w:val="00054111"/>
    <w:rsid w:val="00054670"/>
    <w:rsid w:val="00056A05"/>
    <w:rsid w:val="00056BA6"/>
    <w:rsid w:val="0006019D"/>
    <w:rsid w:val="00060F77"/>
    <w:rsid w:val="00061C99"/>
    <w:rsid w:val="00062153"/>
    <w:rsid w:val="0006251E"/>
    <w:rsid w:val="00063589"/>
    <w:rsid w:val="00063695"/>
    <w:rsid w:val="00063943"/>
    <w:rsid w:val="00063C71"/>
    <w:rsid w:val="00063EFD"/>
    <w:rsid w:val="000644D4"/>
    <w:rsid w:val="00064723"/>
    <w:rsid w:val="00064E7C"/>
    <w:rsid w:val="000650E2"/>
    <w:rsid w:val="000651D4"/>
    <w:rsid w:val="00065412"/>
    <w:rsid w:val="00066D2C"/>
    <w:rsid w:val="00067533"/>
    <w:rsid w:val="000678FB"/>
    <w:rsid w:val="000711E5"/>
    <w:rsid w:val="0007194A"/>
    <w:rsid w:val="000724EC"/>
    <w:rsid w:val="000728E3"/>
    <w:rsid w:val="0007356E"/>
    <w:rsid w:val="00073EA0"/>
    <w:rsid w:val="0007424D"/>
    <w:rsid w:val="0007444D"/>
    <w:rsid w:val="000755D7"/>
    <w:rsid w:val="000764AD"/>
    <w:rsid w:val="0007699D"/>
    <w:rsid w:val="00076E1D"/>
    <w:rsid w:val="00077D9A"/>
    <w:rsid w:val="0008075A"/>
    <w:rsid w:val="00080AFD"/>
    <w:rsid w:val="000812C9"/>
    <w:rsid w:val="00082BBE"/>
    <w:rsid w:val="00082C03"/>
    <w:rsid w:val="00083399"/>
    <w:rsid w:val="00085274"/>
    <w:rsid w:val="00086FBC"/>
    <w:rsid w:val="0008718E"/>
    <w:rsid w:val="0008782A"/>
    <w:rsid w:val="00087B18"/>
    <w:rsid w:val="0009066D"/>
    <w:rsid w:val="00090937"/>
    <w:rsid w:val="0009142D"/>
    <w:rsid w:val="000917E8"/>
    <w:rsid w:val="00091A29"/>
    <w:rsid w:val="00091D87"/>
    <w:rsid w:val="00092092"/>
    <w:rsid w:val="00092852"/>
    <w:rsid w:val="00093178"/>
    <w:rsid w:val="00093C2E"/>
    <w:rsid w:val="00093F0A"/>
    <w:rsid w:val="00094171"/>
    <w:rsid w:val="000953D7"/>
    <w:rsid w:val="00096F9B"/>
    <w:rsid w:val="000A01EF"/>
    <w:rsid w:val="000A043B"/>
    <w:rsid w:val="000A057C"/>
    <w:rsid w:val="000A06F8"/>
    <w:rsid w:val="000A0AE2"/>
    <w:rsid w:val="000A0E72"/>
    <w:rsid w:val="000A1D75"/>
    <w:rsid w:val="000A1ECE"/>
    <w:rsid w:val="000A26D0"/>
    <w:rsid w:val="000A3DC3"/>
    <w:rsid w:val="000A4C5D"/>
    <w:rsid w:val="000A4F1A"/>
    <w:rsid w:val="000A5399"/>
    <w:rsid w:val="000A5BA6"/>
    <w:rsid w:val="000A7101"/>
    <w:rsid w:val="000A726A"/>
    <w:rsid w:val="000A7398"/>
    <w:rsid w:val="000A76D2"/>
    <w:rsid w:val="000B0159"/>
    <w:rsid w:val="000B01CB"/>
    <w:rsid w:val="000B0C6E"/>
    <w:rsid w:val="000B10C8"/>
    <w:rsid w:val="000B148C"/>
    <w:rsid w:val="000B16D0"/>
    <w:rsid w:val="000B1DB4"/>
    <w:rsid w:val="000B2057"/>
    <w:rsid w:val="000B2997"/>
    <w:rsid w:val="000B31E4"/>
    <w:rsid w:val="000B3261"/>
    <w:rsid w:val="000B4044"/>
    <w:rsid w:val="000B40D2"/>
    <w:rsid w:val="000B49AA"/>
    <w:rsid w:val="000B5893"/>
    <w:rsid w:val="000B5D2E"/>
    <w:rsid w:val="000B6826"/>
    <w:rsid w:val="000B6832"/>
    <w:rsid w:val="000B790F"/>
    <w:rsid w:val="000B791A"/>
    <w:rsid w:val="000B7C07"/>
    <w:rsid w:val="000C07AB"/>
    <w:rsid w:val="000C0B2C"/>
    <w:rsid w:val="000C0FEE"/>
    <w:rsid w:val="000C17FA"/>
    <w:rsid w:val="000C1D0C"/>
    <w:rsid w:val="000C2398"/>
    <w:rsid w:val="000C2C8B"/>
    <w:rsid w:val="000C30D5"/>
    <w:rsid w:val="000C3302"/>
    <w:rsid w:val="000C455A"/>
    <w:rsid w:val="000C48D6"/>
    <w:rsid w:val="000C4C0C"/>
    <w:rsid w:val="000C4D37"/>
    <w:rsid w:val="000C4FEB"/>
    <w:rsid w:val="000C5E06"/>
    <w:rsid w:val="000C6919"/>
    <w:rsid w:val="000C6935"/>
    <w:rsid w:val="000C6EE4"/>
    <w:rsid w:val="000C7334"/>
    <w:rsid w:val="000C74B5"/>
    <w:rsid w:val="000D06BF"/>
    <w:rsid w:val="000D1166"/>
    <w:rsid w:val="000D1AF9"/>
    <w:rsid w:val="000D20CE"/>
    <w:rsid w:val="000D2395"/>
    <w:rsid w:val="000D2842"/>
    <w:rsid w:val="000D2941"/>
    <w:rsid w:val="000D2C69"/>
    <w:rsid w:val="000D409B"/>
    <w:rsid w:val="000D470E"/>
    <w:rsid w:val="000D483C"/>
    <w:rsid w:val="000D503D"/>
    <w:rsid w:val="000D5605"/>
    <w:rsid w:val="000D589C"/>
    <w:rsid w:val="000D5EF2"/>
    <w:rsid w:val="000D5F3B"/>
    <w:rsid w:val="000D6216"/>
    <w:rsid w:val="000D6B15"/>
    <w:rsid w:val="000D6F26"/>
    <w:rsid w:val="000D6F33"/>
    <w:rsid w:val="000D715F"/>
    <w:rsid w:val="000D71BB"/>
    <w:rsid w:val="000D7F5E"/>
    <w:rsid w:val="000E10B8"/>
    <w:rsid w:val="000E1EEC"/>
    <w:rsid w:val="000E2A7B"/>
    <w:rsid w:val="000E2E93"/>
    <w:rsid w:val="000E3711"/>
    <w:rsid w:val="000E7974"/>
    <w:rsid w:val="000E7B7A"/>
    <w:rsid w:val="000F0C01"/>
    <w:rsid w:val="000F0C35"/>
    <w:rsid w:val="000F1ABB"/>
    <w:rsid w:val="000F1B4A"/>
    <w:rsid w:val="000F1EE4"/>
    <w:rsid w:val="000F2D01"/>
    <w:rsid w:val="000F2F25"/>
    <w:rsid w:val="000F3C26"/>
    <w:rsid w:val="000F459A"/>
    <w:rsid w:val="000F5653"/>
    <w:rsid w:val="000F5731"/>
    <w:rsid w:val="000F5924"/>
    <w:rsid w:val="000F61C7"/>
    <w:rsid w:val="000F6748"/>
    <w:rsid w:val="000F7446"/>
    <w:rsid w:val="000F7988"/>
    <w:rsid w:val="000F7B2C"/>
    <w:rsid w:val="00100610"/>
    <w:rsid w:val="00100938"/>
    <w:rsid w:val="001009E5"/>
    <w:rsid w:val="0010118F"/>
    <w:rsid w:val="00101345"/>
    <w:rsid w:val="00101B91"/>
    <w:rsid w:val="00102172"/>
    <w:rsid w:val="0010219C"/>
    <w:rsid w:val="0010226E"/>
    <w:rsid w:val="0010243B"/>
    <w:rsid w:val="00102975"/>
    <w:rsid w:val="00103543"/>
    <w:rsid w:val="00104978"/>
    <w:rsid w:val="00104E86"/>
    <w:rsid w:val="001052DB"/>
    <w:rsid w:val="00105A15"/>
    <w:rsid w:val="00106B23"/>
    <w:rsid w:val="00110372"/>
    <w:rsid w:val="00110533"/>
    <w:rsid w:val="00110734"/>
    <w:rsid w:val="00111575"/>
    <w:rsid w:val="00111A6A"/>
    <w:rsid w:val="0011225D"/>
    <w:rsid w:val="00113D69"/>
    <w:rsid w:val="0011400C"/>
    <w:rsid w:val="00115539"/>
    <w:rsid w:val="00115B82"/>
    <w:rsid w:val="00115DDF"/>
    <w:rsid w:val="00115F34"/>
    <w:rsid w:val="00116279"/>
    <w:rsid w:val="00116BF3"/>
    <w:rsid w:val="001171D7"/>
    <w:rsid w:val="00117355"/>
    <w:rsid w:val="00117686"/>
    <w:rsid w:val="00117B76"/>
    <w:rsid w:val="00120B0A"/>
    <w:rsid w:val="00123771"/>
    <w:rsid w:val="001250C8"/>
    <w:rsid w:val="00126353"/>
    <w:rsid w:val="001273C4"/>
    <w:rsid w:val="00127789"/>
    <w:rsid w:val="001302F4"/>
    <w:rsid w:val="00130679"/>
    <w:rsid w:val="001315B5"/>
    <w:rsid w:val="001316D2"/>
    <w:rsid w:val="0013182C"/>
    <w:rsid w:val="001319B7"/>
    <w:rsid w:val="0013223D"/>
    <w:rsid w:val="001326C6"/>
    <w:rsid w:val="00132C05"/>
    <w:rsid w:val="00133049"/>
    <w:rsid w:val="00133801"/>
    <w:rsid w:val="00133D0E"/>
    <w:rsid w:val="00134A6A"/>
    <w:rsid w:val="00135562"/>
    <w:rsid w:val="00135873"/>
    <w:rsid w:val="001362F7"/>
    <w:rsid w:val="00136E4B"/>
    <w:rsid w:val="00140465"/>
    <w:rsid w:val="001410AD"/>
    <w:rsid w:val="00141C6E"/>
    <w:rsid w:val="0014265E"/>
    <w:rsid w:val="0014273A"/>
    <w:rsid w:val="001432F2"/>
    <w:rsid w:val="001441EC"/>
    <w:rsid w:val="0014472E"/>
    <w:rsid w:val="00144F8C"/>
    <w:rsid w:val="00145713"/>
    <w:rsid w:val="0014670B"/>
    <w:rsid w:val="00146B8F"/>
    <w:rsid w:val="00147041"/>
    <w:rsid w:val="001502ED"/>
    <w:rsid w:val="001505D4"/>
    <w:rsid w:val="00150849"/>
    <w:rsid w:val="00151EE9"/>
    <w:rsid w:val="001521A7"/>
    <w:rsid w:val="001524B7"/>
    <w:rsid w:val="001533F9"/>
    <w:rsid w:val="00153460"/>
    <w:rsid w:val="00153512"/>
    <w:rsid w:val="00153744"/>
    <w:rsid w:val="00153A97"/>
    <w:rsid w:val="001547DE"/>
    <w:rsid w:val="0015571A"/>
    <w:rsid w:val="001558DD"/>
    <w:rsid w:val="00155F36"/>
    <w:rsid w:val="00155FB8"/>
    <w:rsid w:val="001564D0"/>
    <w:rsid w:val="00156558"/>
    <w:rsid w:val="0015745B"/>
    <w:rsid w:val="00157CE4"/>
    <w:rsid w:val="00157D5F"/>
    <w:rsid w:val="00157DFE"/>
    <w:rsid w:val="00160297"/>
    <w:rsid w:val="00160413"/>
    <w:rsid w:val="00163347"/>
    <w:rsid w:val="001634E6"/>
    <w:rsid w:val="001637A7"/>
    <w:rsid w:val="00163B46"/>
    <w:rsid w:val="0016422B"/>
    <w:rsid w:val="0016435A"/>
    <w:rsid w:val="0016558E"/>
    <w:rsid w:val="00166978"/>
    <w:rsid w:val="00167657"/>
    <w:rsid w:val="0017015B"/>
    <w:rsid w:val="0017078D"/>
    <w:rsid w:val="001708D8"/>
    <w:rsid w:val="001710CD"/>
    <w:rsid w:val="0017152B"/>
    <w:rsid w:val="00172095"/>
    <w:rsid w:val="00172301"/>
    <w:rsid w:val="001724F8"/>
    <w:rsid w:val="00173438"/>
    <w:rsid w:val="00173C22"/>
    <w:rsid w:val="00173CF2"/>
    <w:rsid w:val="00174326"/>
    <w:rsid w:val="00174A8E"/>
    <w:rsid w:val="00174DCA"/>
    <w:rsid w:val="001750B0"/>
    <w:rsid w:val="0017535D"/>
    <w:rsid w:val="00175BDF"/>
    <w:rsid w:val="00175C67"/>
    <w:rsid w:val="00175E98"/>
    <w:rsid w:val="001763EC"/>
    <w:rsid w:val="001772E6"/>
    <w:rsid w:val="001773D1"/>
    <w:rsid w:val="001777DB"/>
    <w:rsid w:val="00177DDE"/>
    <w:rsid w:val="00180217"/>
    <w:rsid w:val="001804EC"/>
    <w:rsid w:val="00181BBA"/>
    <w:rsid w:val="00182F54"/>
    <w:rsid w:val="001832AE"/>
    <w:rsid w:val="001832B0"/>
    <w:rsid w:val="0018369D"/>
    <w:rsid w:val="00183EFF"/>
    <w:rsid w:val="0018551A"/>
    <w:rsid w:val="00186D7A"/>
    <w:rsid w:val="00187787"/>
    <w:rsid w:val="001877DF"/>
    <w:rsid w:val="00187BDC"/>
    <w:rsid w:val="00187BED"/>
    <w:rsid w:val="0019158C"/>
    <w:rsid w:val="00191943"/>
    <w:rsid w:val="00191B62"/>
    <w:rsid w:val="00192903"/>
    <w:rsid w:val="001929C5"/>
    <w:rsid w:val="00192A33"/>
    <w:rsid w:val="00193399"/>
    <w:rsid w:val="00193BAF"/>
    <w:rsid w:val="00193C19"/>
    <w:rsid w:val="001954B2"/>
    <w:rsid w:val="00196196"/>
    <w:rsid w:val="00197634"/>
    <w:rsid w:val="00197666"/>
    <w:rsid w:val="001978E8"/>
    <w:rsid w:val="00197B13"/>
    <w:rsid w:val="00197C86"/>
    <w:rsid w:val="001A0862"/>
    <w:rsid w:val="001A0F81"/>
    <w:rsid w:val="001A1289"/>
    <w:rsid w:val="001A1A00"/>
    <w:rsid w:val="001A2A2D"/>
    <w:rsid w:val="001A2AAE"/>
    <w:rsid w:val="001A30B1"/>
    <w:rsid w:val="001A386B"/>
    <w:rsid w:val="001A3E39"/>
    <w:rsid w:val="001A4E18"/>
    <w:rsid w:val="001A5AE7"/>
    <w:rsid w:val="001A6F8A"/>
    <w:rsid w:val="001A7720"/>
    <w:rsid w:val="001B0AD4"/>
    <w:rsid w:val="001B0C03"/>
    <w:rsid w:val="001B160B"/>
    <w:rsid w:val="001B16D0"/>
    <w:rsid w:val="001B26C6"/>
    <w:rsid w:val="001B2A70"/>
    <w:rsid w:val="001B3858"/>
    <w:rsid w:val="001B45E2"/>
    <w:rsid w:val="001B49A3"/>
    <w:rsid w:val="001B4A77"/>
    <w:rsid w:val="001B4DA7"/>
    <w:rsid w:val="001B4ED3"/>
    <w:rsid w:val="001B6383"/>
    <w:rsid w:val="001B6AAA"/>
    <w:rsid w:val="001B7442"/>
    <w:rsid w:val="001B79DC"/>
    <w:rsid w:val="001C0141"/>
    <w:rsid w:val="001C06D4"/>
    <w:rsid w:val="001C0D53"/>
    <w:rsid w:val="001C125E"/>
    <w:rsid w:val="001C28A8"/>
    <w:rsid w:val="001C2ED8"/>
    <w:rsid w:val="001C36D3"/>
    <w:rsid w:val="001C39FA"/>
    <w:rsid w:val="001C490F"/>
    <w:rsid w:val="001C519C"/>
    <w:rsid w:val="001C5481"/>
    <w:rsid w:val="001C54BB"/>
    <w:rsid w:val="001C54D9"/>
    <w:rsid w:val="001C583E"/>
    <w:rsid w:val="001C6289"/>
    <w:rsid w:val="001C62D1"/>
    <w:rsid w:val="001C62DA"/>
    <w:rsid w:val="001C753D"/>
    <w:rsid w:val="001C7C5E"/>
    <w:rsid w:val="001C7ED0"/>
    <w:rsid w:val="001D0CEC"/>
    <w:rsid w:val="001D12ED"/>
    <w:rsid w:val="001D1E56"/>
    <w:rsid w:val="001D1FEF"/>
    <w:rsid w:val="001D25F2"/>
    <w:rsid w:val="001D26EE"/>
    <w:rsid w:val="001D2C72"/>
    <w:rsid w:val="001D3794"/>
    <w:rsid w:val="001D4A05"/>
    <w:rsid w:val="001D59B8"/>
    <w:rsid w:val="001D6AA6"/>
    <w:rsid w:val="001D6BEE"/>
    <w:rsid w:val="001D7B15"/>
    <w:rsid w:val="001E1248"/>
    <w:rsid w:val="001E2598"/>
    <w:rsid w:val="001E276D"/>
    <w:rsid w:val="001E2965"/>
    <w:rsid w:val="001E2B01"/>
    <w:rsid w:val="001E43C9"/>
    <w:rsid w:val="001E5220"/>
    <w:rsid w:val="001E584D"/>
    <w:rsid w:val="001E6CCE"/>
    <w:rsid w:val="001E6F1E"/>
    <w:rsid w:val="001E75B2"/>
    <w:rsid w:val="001E7B8D"/>
    <w:rsid w:val="001E7BBE"/>
    <w:rsid w:val="001E7C9D"/>
    <w:rsid w:val="001F1115"/>
    <w:rsid w:val="001F13D0"/>
    <w:rsid w:val="001F1869"/>
    <w:rsid w:val="001F1F83"/>
    <w:rsid w:val="001F20C2"/>
    <w:rsid w:val="001F35F8"/>
    <w:rsid w:val="001F4BFE"/>
    <w:rsid w:val="001F4CF8"/>
    <w:rsid w:val="001F5CC0"/>
    <w:rsid w:val="001F6133"/>
    <w:rsid w:val="001F7B9F"/>
    <w:rsid w:val="0020009F"/>
    <w:rsid w:val="002003E6"/>
    <w:rsid w:val="00200CE4"/>
    <w:rsid w:val="0020139B"/>
    <w:rsid w:val="00201753"/>
    <w:rsid w:val="00201DE0"/>
    <w:rsid w:val="00201F57"/>
    <w:rsid w:val="00202DF4"/>
    <w:rsid w:val="00203313"/>
    <w:rsid w:val="002048C9"/>
    <w:rsid w:val="00204B86"/>
    <w:rsid w:val="00205618"/>
    <w:rsid w:val="0020562A"/>
    <w:rsid w:val="00206240"/>
    <w:rsid w:val="00206AA6"/>
    <w:rsid w:val="0020733B"/>
    <w:rsid w:val="002106FC"/>
    <w:rsid w:val="00210905"/>
    <w:rsid w:val="00210A50"/>
    <w:rsid w:val="00210C6E"/>
    <w:rsid w:val="00210D6C"/>
    <w:rsid w:val="00210F7D"/>
    <w:rsid w:val="002115BC"/>
    <w:rsid w:val="00212ABB"/>
    <w:rsid w:val="00212D75"/>
    <w:rsid w:val="0021337F"/>
    <w:rsid w:val="00213FD2"/>
    <w:rsid w:val="0021472F"/>
    <w:rsid w:val="00214B18"/>
    <w:rsid w:val="00214E85"/>
    <w:rsid w:val="00215129"/>
    <w:rsid w:val="00215178"/>
    <w:rsid w:val="00215F34"/>
    <w:rsid w:val="002171BB"/>
    <w:rsid w:val="00217497"/>
    <w:rsid w:val="00220141"/>
    <w:rsid w:val="00220737"/>
    <w:rsid w:val="002208E3"/>
    <w:rsid w:val="00221C82"/>
    <w:rsid w:val="002222B2"/>
    <w:rsid w:val="0022239D"/>
    <w:rsid w:val="00222EC9"/>
    <w:rsid w:val="00223298"/>
    <w:rsid w:val="002235B8"/>
    <w:rsid w:val="00224963"/>
    <w:rsid w:val="00224EB0"/>
    <w:rsid w:val="002251C8"/>
    <w:rsid w:val="002255A8"/>
    <w:rsid w:val="002256AD"/>
    <w:rsid w:val="00225F44"/>
    <w:rsid w:val="002263BC"/>
    <w:rsid w:val="00226D3D"/>
    <w:rsid w:val="00227C3E"/>
    <w:rsid w:val="002304B0"/>
    <w:rsid w:val="00230735"/>
    <w:rsid w:val="00230B2C"/>
    <w:rsid w:val="0023167E"/>
    <w:rsid w:val="00231870"/>
    <w:rsid w:val="00231ACB"/>
    <w:rsid w:val="00231C49"/>
    <w:rsid w:val="00232965"/>
    <w:rsid w:val="002330CC"/>
    <w:rsid w:val="002331DB"/>
    <w:rsid w:val="0023371F"/>
    <w:rsid w:val="0023381C"/>
    <w:rsid w:val="002339FE"/>
    <w:rsid w:val="0023416C"/>
    <w:rsid w:val="0023434A"/>
    <w:rsid w:val="00235691"/>
    <w:rsid w:val="00235707"/>
    <w:rsid w:val="00235AD2"/>
    <w:rsid w:val="00236242"/>
    <w:rsid w:val="00240676"/>
    <w:rsid w:val="002407B5"/>
    <w:rsid w:val="00240958"/>
    <w:rsid w:val="002416DD"/>
    <w:rsid w:val="0024175C"/>
    <w:rsid w:val="002425EE"/>
    <w:rsid w:val="002426A8"/>
    <w:rsid w:val="00243236"/>
    <w:rsid w:val="00243253"/>
    <w:rsid w:val="0024494A"/>
    <w:rsid w:val="00244A79"/>
    <w:rsid w:val="00244DB9"/>
    <w:rsid w:val="00244DCD"/>
    <w:rsid w:val="00245244"/>
    <w:rsid w:val="00247918"/>
    <w:rsid w:val="00247D6A"/>
    <w:rsid w:val="00250310"/>
    <w:rsid w:val="00251382"/>
    <w:rsid w:val="00251C9E"/>
    <w:rsid w:val="0025366B"/>
    <w:rsid w:val="00253A76"/>
    <w:rsid w:val="00254992"/>
    <w:rsid w:val="0025499B"/>
    <w:rsid w:val="00254CAA"/>
    <w:rsid w:val="00255504"/>
    <w:rsid w:val="00255B72"/>
    <w:rsid w:val="002560DF"/>
    <w:rsid w:val="00257D46"/>
    <w:rsid w:val="0026014F"/>
    <w:rsid w:val="002603E1"/>
    <w:rsid w:val="00260B04"/>
    <w:rsid w:val="002616F6"/>
    <w:rsid w:val="0026176B"/>
    <w:rsid w:val="00261C20"/>
    <w:rsid w:val="002624F9"/>
    <w:rsid w:val="00262D8F"/>
    <w:rsid w:val="002634C9"/>
    <w:rsid w:val="00263961"/>
    <w:rsid w:val="00263C3F"/>
    <w:rsid w:val="00264896"/>
    <w:rsid w:val="002649E6"/>
    <w:rsid w:val="00265538"/>
    <w:rsid w:val="00266106"/>
    <w:rsid w:val="00267AEA"/>
    <w:rsid w:val="00267CC2"/>
    <w:rsid w:val="00267CCF"/>
    <w:rsid w:val="00270D53"/>
    <w:rsid w:val="0027273E"/>
    <w:rsid w:val="002730D8"/>
    <w:rsid w:val="002730FB"/>
    <w:rsid w:val="00273DA0"/>
    <w:rsid w:val="00273E10"/>
    <w:rsid w:val="002746DC"/>
    <w:rsid w:val="00274803"/>
    <w:rsid w:val="002748BD"/>
    <w:rsid w:val="002748BE"/>
    <w:rsid w:val="00276230"/>
    <w:rsid w:val="00276C2A"/>
    <w:rsid w:val="002770A0"/>
    <w:rsid w:val="0027711F"/>
    <w:rsid w:val="0027748F"/>
    <w:rsid w:val="0027760E"/>
    <w:rsid w:val="00277BEE"/>
    <w:rsid w:val="00280D9B"/>
    <w:rsid w:val="00281CA6"/>
    <w:rsid w:val="00281DEF"/>
    <w:rsid w:val="00283180"/>
    <w:rsid w:val="00283995"/>
    <w:rsid w:val="00283C48"/>
    <w:rsid w:val="00284268"/>
    <w:rsid w:val="00284807"/>
    <w:rsid w:val="00286033"/>
    <w:rsid w:val="00286228"/>
    <w:rsid w:val="00286A92"/>
    <w:rsid w:val="00286DFB"/>
    <w:rsid w:val="00290F2E"/>
    <w:rsid w:val="0029105C"/>
    <w:rsid w:val="00291414"/>
    <w:rsid w:val="002916A6"/>
    <w:rsid w:val="00291A86"/>
    <w:rsid w:val="00291E65"/>
    <w:rsid w:val="00292BA0"/>
    <w:rsid w:val="00292C55"/>
    <w:rsid w:val="0029333F"/>
    <w:rsid w:val="00293630"/>
    <w:rsid w:val="0029402F"/>
    <w:rsid w:val="0029461A"/>
    <w:rsid w:val="00296814"/>
    <w:rsid w:val="00296ACD"/>
    <w:rsid w:val="00296DE6"/>
    <w:rsid w:val="002A0487"/>
    <w:rsid w:val="002A11F7"/>
    <w:rsid w:val="002A2CFD"/>
    <w:rsid w:val="002A3911"/>
    <w:rsid w:val="002A3A4F"/>
    <w:rsid w:val="002A3D65"/>
    <w:rsid w:val="002A408B"/>
    <w:rsid w:val="002A41E9"/>
    <w:rsid w:val="002A5584"/>
    <w:rsid w:val="002A5804"/>
    <w:rsid w:val="002A5D0E"/>
    <w:rsid w:val="002A5F1E"/>
    <w:rsid w:val="002A67E7"/>
    <w:rsid w:val="002A7D03"/>
    <w:rsid w:val="002A7F0D"/>
    <w:rsid w:val="002B0D66"/>
    <w:rsid w:val="002B1101"/>
    <w:rsid w:val="002B1721"/>
    <w:rsid w:val="002B182D"/>
    <w:rsid w:val="002B1A2E"/>
    <w:rsid w:val="002B1AD1"/>
    <w:rsid w:val="002B231C"/>
    <w:rsid w:val="002B415F"/>
    <w:rsid w:val="002B6854"/>
    <w:rsid w:val="002B766B"/>
    <w:rsid w:val="002B7F81"/>
    <w:rsid w:val="002C0617"/>
    <w:rsid w:val="002C0CAC"/>
    <w:rsid w:val="002C11C5"/>
    <w:rsid w:val="002C1340"/>
    <w:rsid w:val="002C16EF"/>
    <w:rsid w:val="002C1959"/>
    <w:rsid w:val="002C2A8D"/>
    <w:rsid w:val="002C2B9A"/>
    <w:rsid w:val="002C47D2"/>
    <w:rsid w:val="002C4D4F"/>
    <w:rsid w:val="002C4F3F"/>
    <w:rsid w:val="002C5191"/>
    <w:rsid w:val="002C556F"/>
    <w:rsid w:val="002C5B3C"/>
    <w:rsid w:val="002C68F0"/>
    <w:rsid w:val="002C7611"/>
    <w:rsid w:val="002D1494"/>
    <w:rsid w:val="002D1E6E"/>
    <w:rsid w:val="002D2FC8"/>
    <w:rsid w:val="002D3477"/>
    <w:rsid w:val="002D3754"/>
    <w:rsid w:val="002D40C4"/>
    <w:rsid w:val="002D410C"/>
    <w:rsid w:val="002D4419"/>
    <w:rsid w:val="002D498D"/>
    <w:rsid w:val="002D4E27"/>
    <w:rsid w:val="002D6604"/>
    <w:rsid w:val="002D6D18"/>
    <w:rsid w:val="002E0042"/>
    <w:rsid w:val="002E0A91"/>
    <w:rsid w:val="002E1122"/>
    <w:rsid w:val="002E172A"/>
    <w:rsid w:val="002E1755"/>
    <w:rsid w:val="002E231A"/>
    <w:rsid w:val="002E2343"/>
    <w:rsid w:val="002E253C"/>
    <w:rsid w:val="002E2CB5"/>
    <w:rsid w:val="002E371A"/>
    <w:rsid w:val="002E41C2"/>
    <w:rsid w:val="002E50B2"/>
    <w:rsid w:val="002E5914"/>
    <w:rsid w:val="002E5ED7"/>
    <w:rsid w:val="002E63D6"/>
    <w:rsid w:val="002F1233"/>
    <w:rsid w:val="002F139A"/>
    <w:rsid w:val="002F143C"/>
    <w:rsid w:val="002F1AAB"/>
    <w:rsid w:val="002F1B93"/>
    <w:rsid w:val="002F29A3"/>
    <w:rsid w:val="002F37EE"/>
    <w:rsid w:val="002F4494"/>
    <w:rsid w:val="002F4CB6"/>
    <w:rsid w:val="002F4CF4"/>
    <w:rsid w:val="002F5703"/>
    <w:rsid w:val="002F6783"/>
    <w:rsid w:val="002F7356"/>
    <w:rsid w:val="002F7422"/>
    <w:rsid w:val="002F7C99"/>
    <w:rsid w:val="00300794"/>
    <w:rsid w:val="00300C5A"/>
    <w:rsid w:val="003014DF"/>
    <w:rsid w:val="003037C8"/>
    <w:rsid w:val="00303A15"/>
    <w:rsid w:val="003045DD"/>
    <w:rsid w:val="00304B21"/>
    <w:rsid w:val="00305B8C"/>
    <w:rsid w:val="00307032"/>
    <w:rsid w:val="003071E3"/>
    <w:rsid w:val="00307ACA"/>
    <w:rsid w:val="0031004E"/>
    <w:rsid w:val="0031153F"/>
    <w:rsid w:val="00313AE8"/>
    <w:rsid w:val="0031454A"/>
    <w:rsid w:val="00315290"/>
    <w:rsid w:val="003163DA"/>
    <w:rsid w:val="003204C5"/>
    <w:rsid w:val="003207D7"/>
    <w:rsid w:val="003214FD"/>
    <w:rsid w:val="00322085"/>
    <w:rsid w:val="00322670"/>
    <w:rsid w:val="00322B6F"/>
    <w:rsid w:val="0032332F"/>
    <w:rsid w:val="0032352A"/>
    <w:rsid w:val="003237FD"/>
    <w:rsid w:val="00323AF4"/>
    <w:rsid w:val="00323B7C"/>
    <w:rsid w:val="00324A0D"/>
    <w:rsid w:val="00324A8B"/>
    <w:rsid w:val="00324D91"/>
    <w:rsid w:val="00326124"/>
    <w:rsid w:val="00326659"/>
    <w:rsid w:val="00326F2C"/>
    <w:rsid w:val="00327132"/>
    <w:rsid w:val="00327F63"/>
    <w:rsid w:val="00330DAA"/>
    <w:rsid w:val="00332197"/>
    <w:rsid w:val="003329D0"/>
    <w:rsid w:val="0033301B"/>
    <w:rsid w:val="00333D0E"/>
    <w:rsid w:val="00333F29"/>
    <w:rsid w:val="003346BB"/>
    <w:rsid w:val="00334A87"/>
    <w:rsid w:val="00335700"/>
    <w:rsid w:val="00336165"/>
    <w:rsid w:val="0033665F"/>
    <w:rsid w:val="0033713B"/>
    <w:rsid w:val="0033785F"/>
    <w:rsid w:val="00337CC6"/>
    <w:rsid w:val="00340BAA"/>
    <w:rsid w:val="0034174E"/>
    <w:rsid w:val="0034178E"/>
    <w:rsid w:val="003423CF"/>
    <w:rsid w:val="00343613"/>
    <w:rsid w:val="00343E72"/>
    <w:rsid w:val="0034400F"/>
    <w:rsid w:val="00344368"/>
    <w:rsid w:val="00344855"/>
    <w:rsid w:val="00344993"/>
    <w:rsid w:val="00344D36"/>
    <w:rsid w:val="003468F8"/>
    <w:rsid w:val="00346A50"/>
    <w:rsid w:val="00347683"/>
    <w:rsid w:val="003478D3"/>
    <w:rsid w:val="003504BA"/>
    <w:rsid w:val="00350A21"/>
    <w:rsid w:val="00350EA8"/>
    <w:rsid w:val="00351562"/>
    <w:rsid w:val="003521D2"/>
    <w:rsid w:val="003527C5"/>
    <w:rsid w:val="00352D33"/>
    <w:rsid w:val="00354D1A"/>
    <w:rsid w:val="00355025"/>
    <w:rsid w:val="00355125"/>
    <w:rsid w:val="0035560E"/>
    <w:rsid w:val="00355A91"/>
    <w:rsid w:val="00356D70"/>
    <w:rsid w:val="003573B0"/>
    <w:rsid w:val="0036019A"/>
    <w:rsid w:val="003604CF"/>
    <w:rsid w:val="00360842"/>
    <w:rsid w:val="003614CD"/>
    <w:rsid w:val="003619E0"/>
    <w:rsid w:val="00361C7D"/>
    <w:rsid w:val="00363589"/>
    <w:rsid w:val="00363EC3"/>
    <w:rsid w:val="003641F0"/>
    <w:rsid w:val="00364219"/>
    <w:rsid w:val="003649FD"/>
    <w:rsid w:val="00365A5E"/>
    <w:rsid w:val="003678B0"/>
    <w:rsid w:val="00370146"/>
    <w:rsid w:val="00370CDA"/>
    <w:rsid w:val="00370DC1"/>
    <w:rsid w:val="00372CE1"/>
    <w:rsid w:val="00373003"/>
    <w:rsid w:val="003733A5"/>
    <w:rsid w:val="0037388F"/>
    <w:rsid w:val="00374D0D"/>
    <w:rsid w:val="00376661"/>
    <w:rsid w:val="00376E15"/>
    <w:rsid w:val="0037782D"/>
    <w:rsid w:val="00377904"/>
    <w:rsid w:val="00377BC6"/>
    <w:rsid w:val="00380911"/>
    <w:rsid w:val="00380FB6"/>
    <w:rsid w:val="00381062"/>
    <w:rsid w:val="00381881"/>
    <w:rsid w:val="003819B3"/>
    <w:rsid w:val="0038216D"/>
    <w:rsid w:val="0038229B"/>
    <w:rsid w:val="0038234C"/>
    <w:rsid w:val="00383B3F"/>
    <w:rsid w:val="00384204"/>
    <w:rsid w:val="00384A3B"/>
    <w:rsid w:val="003853A9"/>
    <w:rsid w:val="003855EF"/>
    <w:rsid w:val="00386879"/>
    <w:rsid w:val="00390598"/>
    <w:rsid w:val="00390B36"/>
    <w:rsid w:val="00390FDC"/>
    <w:rsid w:val="00391A5C"/>
    <w:rsid w:val="00391C89"/>
    <w:rsid w:val="00393030"/>
    <w:rsid w:val="003937E1"/>
    <w:rsid w:val="0039390B"/>
    <w:rsid w:val="00393991"/>
    <w:rsid w:val="00394121"/>
    <w:rsid w:val="0039424C"/>
    <w:rsid w:val="003947CA"/>
    <w:rsid w:val="00396893"/>
    <w:rsid w:val="003969D5"/>
    <w:rsid w:val="003969F4"/>
    <w:rsid w:val="003973A2"/>
    <w:rsid w:val="003979C0"/>
    <w:rsid w:val="00397C21"/>
    <w:rsid w:val="00397FCA"/>
    <w:rsid w:val="003A10F4"/>
    <w:rsid w:val="003A15BF"/>
    <w:rsid w:val="003A17F2"/>
    <w:rsid w:val="003A3EFE"/>
    <w:rsid w:val="003A4D17"/>
    <w:rsid w:val="003A4FB6"/>
    <w:rsid w:val="003A51C6"/>
    <w:rsid w:val="003A5374"/>
    <w:rsid w:val="003A545E"/>
    <w:rsid w:val="003A5744"/>
    <w:rsid w:val="003A57C4"/>
    <w:rsid w:val="003A5D37"/>
    <w:rsid w:val="003A63C7"/>
    <w:rsid w:val="003A65EF"/>
    <w:rsid w:val="003A6648"/>
    <w:rsid w:val="003A6AA5"/>
    <w:rsid w:val="003B0B6D"/>
    <w:rsid w:val="003B0C03"/>
    <w:rsid w:val="003B0E24"/>
    <w:rsid w:val="003B0F17"/>
    <w:rsid w:val="003B13EC"/>
    <w:rsid w:val="003B1B95"/>
    <w:rsid w:val="003B36A6"/>
    <w:rsid w:val="003B3C21"/>
    <w:rsid w:val="003B4A05"/>
    <w:rsid w:val="003B4A16"/>
    <w:rsid w:val="003B4EF2"/>
    <w:rsid w:val="003B61E9"/>
    <w:rsid w:val="003B68BE"/>
    <w:rsid w:val="003B790B"/>
    <w:rsid w:val="003B7AC7"/>
    <w:rsid w:val="003C0B74"/>
    <w:rsid w:val="003C1156"/>
    <w:rsid w:val="003C1D94"/>
    <w:rsid w:val="003C201E"/>
    <w:rsid w:val="003C2280"/>
    <w:rsid w:val="003C2DB5"/>
    <w:rsid w:val="003C2F42"/>
    <w:rsid w:val="003C333B"/>
    <w:rsid w:val="003C3AFF"/>
    <w:rsid w:val="003C3F9C"/>
    <w:rsid w:val="003C48DE"/>
    <w:rsid w:val="003C53DE"/>
    <w:rsid w:val="003C5DEE"/>
    <w:rsid w:val="003C6390"/>
    <w:rsid w:val="003C6A98"/>
    <w:rsid w:val="003C73BC"/>
    <w:rsid w:val="003C7666"/>
    <w:rsid w:val="003D2B52"/>
    <w:rsid w:val="003D2CD0"/>
    <w:rsid w:val="003D30CC"/>
    <w:rsid w:val="003D33B6"/>
    <w:rsid w:val="003D3679"/>
    <w:rsid w:val="003D3DE0"/>
    <w:rsid w:val="003D4032"/>
    <w:rsid w:val="003D47F4"/>
    <w:rsid w:val="003D48DD"/>
    <w:rsid w:val="003D4927"/>
    <w:rsid w:val="003D4B79"/>
    <w:rsid w:val="003D5CCB"/>
    <w:rsid w:val="003D6465"/>
    <w:rsid w:val="003D728E"/>
    <w:rsid w:val="003D767A"/>
    <w:rsid w:val="003D7D5B"/>
    <w:rsid w:val="003E0462"/>
    <w:rsid w:val="003E081B"/>
    <w:rsid w:val="003E15F1"/>
    <w:rsid w:val="003E1796"/>
    <w:rsid w:val="003E1BD9"/>
    <w:rsid w:val="003E4BA6"/>
    <w:rsid w:val="003E5274"/>
    <w:rsid w:val="003E585B"/>
    <w:rsid w:val="003E60A7"/>
    <w:rsid w:val="003E6975"/>
    <w:rsid w:val="003E69DB"/>
    <w:rsid w:val="003F038D"/>
    <w:rsid w:val="003F06FB"/>
    <w:rsid w:val="003F357D"/>
    <w:rsid w:val="003F3642"/>
    <w:rsid w:val="003F39C2"/>
    <w:rsid w:val="003F3A40"/>
    <w:rsid w:val="003F4447"/>
    <w:rsid w:val="003F497B"/>
    <w:rsid w:val="003F575F"/>
    <w:rsid w:val="003F634E"/>
    <w:rsid w:val="003F682D"/>
    <w:rsid w:val="003F694A"/>
    <w:rsid w:val="003F75EC"/>
    <w:rsid w:val="004002BF"/>
    <w:rsid w:val="004006F5"/>
    <w:rsid w:val="00400A6B"/>
    <w:rsid w:val="00400C2E"/>
    <w:rsid w:val="00400FD5"/>
    <w:rsid w:val="004012B9"/>
    <w:rsid w:val="004015C4"/>
    <w:rsid w:val="004019FF"/>
    <w:rsid w:val="00401F5F"/>
    <w:rsid w:val="004023D6"/>
    <w:rsid w:val="00403167"/>
    <w:rsid w:val="004045F7"/>
    <w:rsid w:val="004049D1"/>
    <w:rsid w:val="00405998"/>
    <w:rsid w:val="00405D9C"/>
    <w:rsid w:val="00406762"/>
    <w:rsid w:val="00406BE3"/>
    <w:rsid w:val="00406C0A"/>
    <w:rsid w:val="00406D75"/>
    <w:rsid w:val="00410922"/>
    <w:rsid w:val="00410BD3"/>
    <w:rsid w:val="00411169"/>
    <w:rsid w:val="00411AC3"/>
    <w:rsid w:val="00412982"/>
    <w:rsid w:val="00412D90"/>
    <w:rsid w:val="00413B72"/>
    <w:rsid w:val="004145BB"/>
    <w:rsid w:val="004145E2"/>
    <w:rsid w:val="00415E1A"/>
    <w:rsid w:val="00417B99"/>
    <w:rsid w:val="00420B8B"/>
    <w:rsid w:val="00421619"/>
    <w:rsid w:val="00421A85"/>
    <w:rsid w:val="00421B80"/>
    <w:rsid w:val="00422BFF"/>
    <w:rsid w:val="004230A4"/>
    <w:rsid w:val="0042391B"/>
    <w:rsid w:val="00423CDC"/>
    <w:rsid w:val="00424355"/>
    <w:rsid w:val="00424C48"/>
    <w:rsid w:val="00424EA9"/>
    <w:rsid w:val="00424FFE"/>
    <w:rsid w:val="0042564E"/>
    <w:rsid w:val="004256B5"/>
    <w:rsid w:val="0042690F"/>
    <w:rsid w:val="00426A09"/>
    <w:rsid w:val="00426FDE"/>
    <w:rsid w:val="0042747B"/>
    <w:rsid w:val="00430C31"/>
    <w:rsid w:val="00433506"/>
    <w:rsid w:val="00433963"/>
    <w:rsid w:val="00433AF4"/>
    <w:rsid w:val="00433D35"/>
    <w:rsid w:val="00434291"/>
    <w:rsid w:val="00434C26"/>
    <w:rsid w:val="00435045"/>
    <w:rsid w:val="00435804"/>
    <w:rsid w:val="00435BA3"/>
    <w:rsid w:val="00436950"/>
    <w:rsid w:val="004401CB"/>
    <w:rsid w:val="0044243B"/>
    <w:rsid w:val="0044267E"/>
    <w:rsid w:val="00443EE9"/>
    <w:rsid w:val="004443AC"/>
    <w:rsid w:val="004447D9"/>
    <w:rsid w:val="00445059"/>
    <w:rsid w:val="004450EA"/>
    <w:rsid w:val="00445465"/>
    <w:rsid w:val="00445576"/>
    <w:rsid w:val="00445CBD"/>
    <w:rsid w:val="0044688E"/>
    <w:rsid w:val="00446980"/>
    <w:rsid w:val="004500A3"/>
    <w:rsid w:val="004510BB"/>
    <w:rsid w:val="0045151D"/>
    <w:rsid w:val="00454028"/>
    <w:rsid w:val="004543D0"/>
    <w:rsid w:val="00454813"/>
    <w:rsid w:val="00454B57"/>
    <w:rsid w:val="00454C0F"/>
    <w:rsid w:val="00455BA6"/>
    <w:rsid w:val="00456A26"/>
    <w:rsid w:val="00460327"/>
    <w:rsid w:val="00460CA1"/>
    <w:rsid w:val="0046127E"/>
    <w:rsid w:val="0046254C"/>
    <w:rsid w:val="0046259C"/>
    <w:rsid w:val="004626BB"/>
    <w:rsid w:val="004627D6"/>
    <w:rsid w:val="0046592E"/>
    <w:rsid w:val="004667E0"/>
    <w:rsid w:val="0047009F"/>
    <w:rsid w:val="0047048A"/>
    <w:rsid w:val="00470EEB"/>
    <w:rsid w:val="00471345"/>
    <w:rsid w:val="0047278A"/>
    <w:rsid w:val="00473980"/>
    <w:rsid w:val="00473BFE"/>
    <w:rsid w:val="00473FE4"/>
    <w:rsid w:val="0047418A"/>
    <w:rsid w:val="00474FF1"/>
    <w:rsid w:val="0047510E"/>
    <w:rsid w:val="00476254"/>
    <w:rsid w:val="004763AC"/>
    <w:rsid w:val="00476577"/>
    <w:rsid w:val="004768EB"/>
    <w:rsid w:val="00476D05"/>
    <w:rsid w:val="00477A56"/>
    <w:rsid w:val="00477CEE"/>
    <w:rsid w:val="004802FF"/>
    <w:rsid w:val="004805A2"/>
    <w:rsid w:val="00480DE5"/>
    <w:rsid w:val="00481031"/>
    <w:rsid w:val="004812FE"/>
    <w:rsid w:val="004813F0"/>
    <w:rsid w:val="00481DD2"/>
    <w:rsid w:val="004823D6"/>
    <w:rsid w:val="00482994"/>
    <w:rsid w:val="004835C4"/>
    <w:rsid w:val="0048535E"/>
    <w:rsid w:val="00485B14"/>
    <w:rsid w:val="00485D33"/>
    <w:rsid w:val="00485F15"/>
    <w:rsid w:val="00486995"/>
    <w:rsid w:val="00486BB4"/>
    <w:rsid w:val="004870E9"/>
    <w:rsid w:val="0048714A"/>
    <w:rsid w:val="004871E7"/>
    <w:rsid w:val="0048775B"/>
    <w:rsid w:val="004910AB"/>
    <w:rsid w:val="004913D7"/>
    <w:rsid w:val="00491536"/>
    <w:rsid w:val="00491B97"/>
    <w:rsid w:val="0049500D"/>
    <w:rsid w:val="0049503C"/>
    <w:rsid w:val="004953E8"/>
    <w:rsid w:val="00495ED1"/>
    <w:rsid w:val="00496627"/>
    <w:rsid w:val="0049672E"/>
    <w:rsid w:val="00496A5E"/>
    <w:rsid w:val="004976F1"/>
    <w:rsid w:val="004A011D"/>
    <w:rsid w:val="004A1490"/>
    <w:rsid w:val="004A1550"/>
    <w:rsid w:val="004A1687"/>
    <w:rsid w:val="004A16D8"/>
    <w:rsid w:val="004A21F6"/>
    <w:rsid w:val="004A2898"/>
    <w:rsid w:val="004A301E"/>
    <w:rsid w:val="004A3A76"/>
    <w:rsid w:val="004A3DB0"/>
    <w:rsid w:val="004A58C9"/>
    <w:rsid w:val="004A5DCA"/>
    <w:rsid w:val="004A5E39"/>
    <w:rsid w:val="004A60A6"/>
    <w:rsid w:val="004A63ED"/>
    <w:rsid w:val="004A6B68"/>
    <w:rsid w:val="004A6B8B"/>
    <w:rsid w:val="004A730C"/>
    <w:rsid w:val="004A77DF"/>
    <w:rsid w:val="004A7AC9"/>
    <w:rsid w:val="004B0394"/>
    <w:rsid w:val="004B1368"/>
    <w:rsid w:val="004B1E96"/>
    <w:rsid w:val="004B22C2"/>
    <w:rsid w:val="004B28F9"/>
    <w:rsid w:val="004B3983"/>
    <w:rsid w:val="004B3A9D"/>
    <w:rsid w:val="004B427B"/>
    <w:rsid w:val="004B4333"/>
    <w:rsid w:val="004B4B7B"/>
    <w:rsid w:val="004B53A7"/>
    <w:rsid w:val="004B5D3B"/>
    <w:rsid w:val="004B61CF"/>
    <w:rsid w:val="004B655D"/>
    <w:rsid w:val="004B79EB"/>
    <w:rsid w:val="004C00A3"/>
    <w:rsid w:val="004C02ED"/>
    <w:rsid w:val="004C0BEB"/>
    <w:rsid w:val="004C0E69"/>
    <w:rsid w:val="004C0F32"/>
    <w:rsid w:val="004C137F"/>
    <w:rsid w:val="004C1D4A"/>
    <w:rsid w:val="004C2221"/>
    <w:rsid w:val="004C4AC2"/>
    <w:rsid w:val="004C5912"/>
    <w:rsid w:val="004C5F74"/>
    <w:rsid w:val="004C6A2A"/>
    <w:rsid w:val="004D0229"/>
    <w:rsid w:val="004D20A1"/>
    <w:rsid w:val="004D20A9"/>
    <w:rsid w:val="004D320D"/>
    <w:rsid w:val="004D4668"/>
    <w:rsid w:val="004D6F37"/>
    <w:rsid w:val="004D7C1A"/>
    <w:rsid w:val="004D7CE2"/>
    <w:rsid w:val="004E0172"/>
    <w:rsid w:val="004E08A4"/>
    <w:rsid w:val="004E0D9B"/>
    <w:rsid w:val="004E1240"/>
    <w:rsid w:val="004E19F6"/>
    <w:rsid w:val="004E206E"/>
    <w:rsid w:val="004E45B2"/>
    <w:rsid w:val="004E567C"/>
    <w:rsid w:val="004E5BA9"/>
    <w:rsid w:val="004E6058"/>
    <w:rsid w:val="004E60C9"/>
    <w:rsid w:val="004E63E3"/>
    <w:rsid w:val="004F0C32"/>
    <w:rsid w:val="004F139A"/>
    <w:rsid w:val="004F1492"/>
    <w:rsid w:val="004F1BEE"/>
    <w:rsid w:val="004F228E"/>
    <w:rsid w:val="004F2311"/>
    <w:rsid w:val="004F2F10"/>
    <w:rsid w:val="004F3C93"/>
    <w:rsid w:val="004F4960"/>
    <w:rsid w:val="004F520F"/>
    <w:rsid w:val="004F52DE"/>
    <w:rsid w:val="004F7367"/>
    <w:rsid w:val="004F74D1"/>
    <w:rsid w:val="004F7B64"/>
    <w:rsid w:val="00500B99"/>
    <w:rsid w:val="00501284"/>
    <w:rsid w:val="0050191A"/>
    <w:rsid w:val="00501976"/>
    <w:rsid w:val="00501A97"/>
    <w:rsid w:val="00501BA4"/>
    <w:rsid w:val="0050221C"/>
    <w:rsid w:val="005026FD"/>
    <w:rsid w:val="0050331F"/>
    <w:rsid w:val="00503D87"/>
    <w:rsid w:val="005041B8"/>
    <w:rsid w:val="00504343"/>
    <w:rsid w:val="0050462E"/>
    <w:rsid w:val="0050465A"/>
    <w:rsid w:val="00504B90"/>
    <w:rsid w:val="00505100"/>
    <w:rsid w:val="005060AE"/>
    <w:rsid w:val="00506BE6"/>
    <w:rsid w:val="005070C3"/>
    <w:rsid w:val="00510254"/>
    <w:rsid w:val="005123BB"/>
    <w:rsid w:val="00512E27"/>
    <w:rsid w:val="0051472E"/>
    <w:rsid w:val="00514BE3"/>
    <w:rsid w:val="005161E2"/>
    <w:rsid w:val="00516526"/>
    <w:rsid w:val="005166F2"/>
    <w:rsid w:val="00516A74"/>
    <w:rsid w:val="00516B24"/>
    <w:rsid w:val="0051737C"/>
    <w:rsid w:val="005175F5"/>
    <w:rsid w:val="00517657"/>
    <w:rsid w:val="00517A35"/>
    <w:rsid w:val="00517C96"/>
    <w:rsid w:val="005204B5"/>
    <w:rsid w:val="00521B2E"/>
    <w:rsid w:val="00522A83"/>
    <w:rsid w:val="00523008"/>
    <w:rsid w:val="00523D65"/>
    <w:rsid w:val="00524D55"/>
    <w:rsid w:val="005250E3"/>
    <w:rsid w:val="005260F8"/>
    <w:rsid w:val="005265DB"/>
    <w:rsid w:val="00527564"/>
    <w:rsid w:val="00527578"/>
    <w:rsid w:val="00527755"/>
    <w:rsid w:val="00530708"/>
    <w:rsid w:val="00531B81"/>
    <w:rsid w:val="005335F4"/>
    <w:rsid w:val="00533654"/>
    <w:rsid w:val="00533737"/>
    <w:rsid w:val="00534299"/>
    <w:rsid w:val="005355F8"/>
    <w:rsid w:val="0053654E"/>
    <w:rsid w:val="00536E20"/>
    <w:rsid w:val="005370E0"/>
    <w:rsid w:val="005403E4"/>
    <w:rsid w:val="005405E4"/>
    <w:rsid w:val="00543B7F"/>
    <w:rsid w:val="005444C7"/>
    <w:rsid w:val="00544595"/>
    <w:rsid w:val="005447CF"/>
    <w:rsid w:val="00544D97"/>
    <w:rsid w:val="0054509D"/>
    <w:rsid w:val="005455B2"/>
    <w:rsid w:val="00546815"/>
    <w:rsid w:val="0055009E"/>
    <w:rsid w:val="005509AB"/>
    <w:rsid w:val="00550DED"/>
    <w:rsid w:val="00550FD9"/>
    <w:rsid w:val="00552357"/>
    <w:rsid w:val="0055292F"/>
    <w:rsid w:val="00552D1E"/>
    <w:rsid w:val="00553016"/>
    <w:rsid w:val="00553109"/>
    <w:rsid w:val="005531C6"/>
    <w:rsid w:val="0055364B"/>
    <w:rsid w:val="00554F32"/>
    <w:rsid w:val="0055508F"/>
    <w:rsid w:val="00555597"/>
    <w:rsid w:val="005557D5"/>
    <w:rsid w:val="00555901"/>
    <w:rsid w:val="00555A0B"/>
    <w:rsid w:val="005563CC"/>
    <w:rsid w:val="00556793"/>
    <w:rsid w:val="00556A24"/>
    <w:rsid w:val="00556AC4"/>
    <w:rsid w:val="00556C14"/>
    <w:rsid w:val="0055708B"/>
    <w:rsid w:val="005570C1"/>
    <w:rsid w:val="00557A19"/>
    <w:rsid w:val="00560D98"/>
    <w:rsid w:val="0056129B"/>
    <w:rsid w:val="00561341"/>
    <w:rsid w:val="00561C52"/>
    <w:rsid w:val="005620D5"/>
    <w:rsid w:val="0056225E"/>
    <w:rsid w:val="00562F69"/>
    <w:rsid w:val="005648DC"/>
    <w:rsid w:val="00564F00"/>
    <w:rsid w:val="0056612A"/>
    <w:rsid w:val="00566ADA"/>
    <w:rsid w:val="005674F5"/>
    <w:rsid w:val="00567693"/>
    <w:rsid w:val="00567BE8"/>
    <w:rsid w:val="0057023B"/>
    <w:rsid w:val="00570DCC"/>
    <w:rsid w:val="00572C2F"/>
    <w:rsid w:val="00573059"/>
    <w:rsid w:val="0057334B"/>
    <w:rsid w:val="005740B3"/>
    <w:rsid w:val="0057431C"/>
    <w:rsid w:val="005746DB"/>
    <w:rsid w:val="005748EC"/>
    <w:rsid w:val="005750DE"/>
    <w:rsid w:val="005755D7"/>
    <w:rsid w:val="00576BFB"/>
    <w:rsid w:val="00576EED"/>
    <w:rsid w:val="00577540"/>
    <w:rsid w:val="005775BA"/>
    <w:rsid w:val="00580986"/>
    <w:rsid w:val="0058132B"/>
    <w:rsid w:val="00581D0D"/>
    <w:rsid w:val="005822A5"/>
    <w:rsid w:val="0058287B"/>
    <w:rsid w:val="0058317F"/>
    <w:rsid w:val="005835B4"/>
    <w:rsid w:val="005839EB"/>
    <w:rsid w:val="00583BDA"/>
    <w:rsid w:val="00584836"/>
    <w:rsid w:val="005851FB"/>
    <w:rsid w:val="0058581C"/>
    <w:rsid w:val="00586BB7"/>
    <w:rsid w:val="00586DF4"/>
    <w:rsid w:val="005871C8"/>
    <w:rsid w:val="005876AA"/>
    <w:rsid w:val="005878BA"/>
    <w:rsid w:val="005879BA"/>
    <w:rsid w:val="00587A4F"/>
    <w:rsid w:val="005903A3"/>
    <w:rsid w:val="0059172C"/>
    <w:rsid w:val="00591D8E"/>
    <w:rsid w:val="005924D4"/>
    <w:rsid w:val="00592963"/>
    <w:rsid w:val="00592C7D"/>
    <w:rsid w:val="00592DFD"/>
    <w:rsid w:val="00593432"/>
    <w:rsid w:val="00593488"/>
    <w:rsid w:val="00593800"/>
    <w:rsid w:val="00593C27"/>
    <w:rsid w:val="00593D0E"/>
    <w:rsid w:val="0059511E"/>
    <w:rsid w:val="0059563D"/>
    <w:rsid w:val="00597AEC"/>
    <w:rsid w:val="005A02BE"/>
    <w:rsid w:val="005A0ECE"/>
    <w:rsid w:val="005A1B7F"/>
    <w:rsid w:val="005A1EB8"/>
    <w:rsid w:val="005A2EF3"/>
    <w:rsid w:val="005A34D6"/>
    <w:rsid w:val="005A3BCB"/>
    <w:rsid w:val="005A3CB8"/>
    <w:rsid w:val="005A40CF"/>
    <w:rsid w:val="005A4EF6"/>
    <w:rsid w:val="005A5B7D"/>
    <w:rsid w:val="005A5E23"/>
    <w:rsid w:val="005A64FF"/>
    <w:rsid w:val="005A6AA5"/>
    <w:rsid w:val="005A7887"/>
    <w:rsid w:val="005A7B83"/>
    <w:rsid w:val="005A7D1C"/>
    <w:rsid w:val="005B1377"/>
    <w:rsid w:val="005B1F20"/>
    <w:rsid w:val="005B339B"/>
    <w:rsid w:val="005B3A82"/>
    <w:rsid w:val="005B4478"/>
    <w:rsid w:val="005B4A6B"/>
    <w:rsid w:val="005B4B98"/>
    <w:rsid w:val="005B5E58"/>
    <w:rsid w:val="005B5F08"/>
    <w:rsid w:val="005B6536"/>
    <w:rsid w:val="005B6811"/>
    <w:rsid w:val="005B715E"/>
    <w:rsid w:val="005B7726"/>
    <w:rsid w:val="005B7FEB"/>
    <w:rsid w:val="005C048F"/>
    <w:rsid w:val="005C11E8"/>
    <w:rsid w:val="005C128D"/>
    <w:rsid w:val="005C1F6C"/>
    <w:rsid w:val="005C24E6"/>
    <w:rsid w:val="005C259D"/>
    <w:rsid w:val="005C3257"/>
    <w:rsid w:val="005C33D0"/>
    <w:rsid w:val="005C37BA"/>
    <w:rsid w:val="005C626D"/>
    <w:rsid w:val="005C6946"/>
    <w:rsid w:val="005C761D"/>
    <w:rsid w:val="005C7D68"/>
    <w:rsid w:val="005D0AD1"/>
    <w:rsid w:val="005D1E57"/>
    <w:rsid w:val="005D2273"/>
    <w:rsid w:val="005D2973"/>
    <w:rsid w:val="005D2F3D"/>
    <w:rsid w:val="005D38EF"/>
    <w:rsid w:val="005D3D9C"/>
    <w:rsid w:val="005D5018"/>
    <w:rsid w:val="005D510C"/>
    <w:rsid w:val="005D566F"/>
    <w:rsid w:val="005D6AF0"/>
    <w:rsid w:val="005D714C"/>
    <w:rsid w:val="005D7D53"/>
    <w:rsid w:val="005E0E87"/>
    <w:rsid w:val="005E27C4"/>
    <w:rsid w:val="005E2925"/>
    <w:rsid w:val="005E2AFA"/>
    <w:rsid w:val="005E2C54"/>
    <w:rsid w:val="005E2CB5"/>
    <w:rsid w:val="005E36B3"/>
    <w:rsid w:val="005E4119"/>
    <w:rsid w:val="005E4688"/>
    <w:rsid w:val="005E5CA6"/>
    <w:rsid w:val="005E5DC1"/>
    <w:rsid w:val="005E60A5"/>
    <w:rsid w:val="005E61B3"/>
    <w:rsid w:val="005E6A25"/>
    <w:rsid w:val="005E70BF"/>
    <w:rsid w:val="005E74E0"/>
    <w:rsid w:val="005F0138"/>
    <w:rsid w:val="005F03BA"/>
    <w:rsid w:val="005F0A2A"/>
    <w:rsid w:val="005F0F60"/>
    <w:rsid w:val="005F1460"/>
    <w:rsid w:val="005F1637"/>
    <w:rsid w:val="005F2156"/>
    <w:rsid w:val="005F30CF"/>
    <w:rsid w:val="005F4588"/>
    <w:rsid w:val="005F5359"/>
    <w:rsid w:val="005F5D19"/>
    <w:rsid w:val="005F7763"/>
    <w:rsid w:val="0060095E"/>
    <w:rsid w:val="006017E7"/>
    <w:rsid w:val="00602257"/>
    <w:rsid w:val="006025AC"/>
    <w:rsid w:val="00602ABB"/>
    <w:rsid w:val="00602E98"/>
    <w:rsid w:val="006036BD"/>
    <w:rsid w:val="00603FB5"/>
    <w:rsid w:val="00604096"/>
    <w:rsid w:val="00604118"/>
    <w:rsid w:val="0060430B"/>
    <w:rsid w:val="00605AFE"/>
    <w:rsid w:val="00605D7B"/>
    <w:rsid w:val="00606556"/>
    <w:rsid w:val="00606C45"/>
    <w:rsid w:val="00607509"/>
    <w:rsid w:val="0060775C"/>
    <w:rsid w:val="00611800"/>
    <w:rsid w:val="00611FC5"/>
    <w:rsid w:val="0061220F"/>
    <w:rsid w:val="00612C64"/>
    <w:rsid w:val="00613258"/>
    <w:rsid w:val="00614772"/>
    <w:rsid w:val="00614E1A"/>
    <w:rsid w:val="0061660D"/>
    <w:rsid w:val="006173C0"/>
    <w:rsid w:val="00617C60"/>
    <w:rsid w:val="00617FF6"/>
    <w:rsid w:val="00620EFF"/>
    <w:rsid w:val="00621018"/>
    <w:rsid w:val="00621953"/>
    <w:rsid w:val="00623C5E"/>
    <w:rsid w:val="00623F51"/>
    <w:rsid w:val="00625AE1"/>
    <w:rsid w:val="006260CE"/>
    <w:rsid w:val="00626B8A"/>
    <w:rsid w:val="00627704"/>
    <w:rsid w:val="0063083A"/>
    <w:rsid w:val="00630C41"/>
    <w:rsid w:val="0063248B"/>
    <w:rsid w:val="00635091"/>
    <w:rsid w:val="006350CD"/>
    <w:rsid w:val="006350DA"/>
    <w:rsid w:val="006353AA"/>
    <w:rsid w:val="00636F83"/>
    <w:rsid w:val="00637AB5"/>
    <w:rsid w:val="00640758"/>
    <w:rsid w:val="00640A86"/>
    <w:rsid w:val="00641163"/>
    <w:rsid w:val="006433F8"/>
    <w:rsid w:val="006438E6"/>
    <w:rsid w:val="0064428B"/>
    <w:rsid w:val="00644805"/>
    <w:rsid w:val="00644BD7"/>
    <w:rsid w:val="006451CC"/>
    <w:rsid w:val="00645237"/>
    <w:rsid w:val="0064547F"/>
    <w:rsid w:val="0064693E"/>
    <w:rsid w:val="00647DC7"/>
    <w:rsid w:val="00650B7D"/>
    <w:rsid w:val="00650C62"/>
    <w:rsid w:val="00651661"/>
    <w:rsid w:val="00651847"/>
    <w:rsid w:val="00651C27"/>
    <w:rsid w:val="00651CFE"/>
    <w:rsid w:val="00651FE2"/>
    <w:rsid w:val="00652A0B"/>
    <w:rsid w:val="00653BC0"/>
    <w:rsid w:val="00654583"/>
    <w:rsid w:val="00655552"/>
    <w:rsid w:val="00655C93"/>
    <w:rsid w:val="00657000"/>
    <w:rsid w:val="00657BFA"/>
    <w:rsid w:val="0066001F"/>
    <w:rsid w:val="0066041B"/>
    <w:rsid w:val="00660D19"/>
    <w:rsid w:val="0066168D"/>
    <w:rsid w:val="006622DE"/>
    <w:rsid w:val="006628C0"/>
    <w:rsid w:val="00662E16"/>
    <w:rsid w:val="00662E3A"/>
    <w:rsid w:val="00663278"/>
    <w:rsid w:val="006635F3"/>
    <w:rsid w:val="0066374D"/>
    <w:rsid w:val="0066384A"/>
    <w:rsid w:val="00663EF2"/>
    <w:rsid w:val="00664185"/>
    <w:rsid w:val="00664647"/>
    <w:rsid w:val="006651A3"/>
    <w:rsid w:val="00665EBA"/>
    <w:rsid w:val="006666B8"/>
    <w:rsid w:val="00666E73"/>
    <w:rsid w:val="006675D7"/>
    <w:rsid w:val="00671308"/>
    <w:rsid w:val="00672352"/>
    <w:rsid w:val="0067235C"/>
    <w:rsid w:val="0067261E"/>
    <w:rsid w:val="00672B5F"/>
    <w:rsid w:val="00672DBD"/>
    <w:rsid w:val="00673C71"/>
    <w:rsid w:val="00675886"/>
    <w:rsid w:val="0067598B"/>
    <w:rsid w:val="00677674"/>
    <w:rsid w:val="006803A1"/>
    <w:rsid w:val="00680F31"/>
    <w:rsid w:val="006810ED"/>
    <w:rsid w:val="00681EB6"/>
    <w:rsid w:val="00681F84"/>
    <w:rsid w:val="0068218B"/>
    <w:rsid w:val="00682D9C"/>
    <w:rsid w:val="006830DB"/>
    <w:rsid w:val="006838D7"/>
    <w:rsid w:val="006839E1"/>
    <w:rsid w:val="00684FB7"/>
    <w:rsid w:val="00685611"/>
    <w:rsid w:val="0068630C"/>
    <w:rsid w:val="00687192"/>
    <w:rsid w:val="00687429"/>
    <w:rsid w:val="00687C7D"/>
    <w:rsid w:val="00690093"/>
    <w:rsid w:val="0069122D"/>
    <w:rsid w:val="00691D46"/>
    <w:rsid w:val="00691F7F"/>
    <w:rsid w:val="0069241D"/>
    <w:rsid w:val="006924A4"/>
    <w:rsid w:val="006926F7"/>
    <w:rsid w:val="00692963"/>
    <w:rsid w:val="00693253"/>
    <w:rsid w:val="00693366"/>
    <w:rsid w:val="006936D0"/>
    <w:rsid w:val="00695052"/>
    <w:rsid w:val="00695770"/>
    <w:rsid w:val="00695797"/>
    <w:rsid w:val="006964DD"/>
    <w:rsid w:val="00696B16"/>
    <w:rsid w:val="006974BF"/>
    <w:rsid w:val="00697709"/>
    <w:rsid w:val="006A1801"/>
    <w:rsid w:val="006A21DE"/>
    <w:rsid w:val="006A3F68"/>
    <w:rsid w:val="006A4994"/>
    <w:rsid w:val="006A4C5D"/>
    <w:rsid w:val="006A587A"/>
    <w:rsid w:val="006A5C80"/>
    <w:rsid w:val="006A5D93"/>
    <w:rsid w:val="006A5F4E"/>
    <w:rsid w:val="006A7078"/>
    <w:rsid w:val="006A7776"/>
    <w:rsid w:val="006A78C8"/>
    <w:rsid w:val="006B022E"/>
    <w:rsid w:val="006B0C37"/>
    <w:rsid w:val="006B0CD8"/>
    <w:rsid w:val="006B24BA"/>
    <w:rsid w:val="006B32D5"/>
    <w:rsid w:val="006B364F"/>
    <w:rsid w:val="006B3751"/>
    <w:rsid w:val="006B38D0"/>
    <w:rsid w:val="006B3A2F"/>
    <w:rsid w:val="006B4F6F"/>
    <w:rsid w:val="006B64BC"/>
    <w:rsid w:val="006C0C0C"/>
    <w:rsid w:val="006C0CBE"/>
    <w:rsid w:val="006C1368"/>
    <w:rsid w:val="006C1477"/>
    <w:rsid w:val="006C1C60"/>
    <w:rsid w:val="006C22A3"/>
    <w:rsid w:val="006C288B"/>
    <w:rsid w:val="006C2B80"/>
    <w:rsid w:val="006C4111"/>
    <w:rsid w:val="006C4278"/>
    <w:rsid w:val="006C4472"/>
    <w:rsid w:val="006C4CCE"/>
    <w:rsid w:val="006C5348"/>
    <w:rsid w:val="006C5A78"/>
    <w:rsid w:val="006C5C1C"/>
    <w:rsid w:val="006C5E13"/>
    <w:rsid w:val="006C5F94"/>
    <w:rsid w:val="006C66E6"/>
    <w:rsid w:val="006C6C4F"/>
    <w:rsid w:val="006D0002"/>
    <w:rsid w:val="006D1CA6"/>
    <w:rsid w:val="006D1D75"/>
    <w:rsid w:val="006D31D8"/>
    <w:rsid w:val="006D31E0"/>
    <w:rsid w:val="006D48B6"/>
    <w:rsid w:val="006D4993"/>
    <w:rsid w:val="006D4EE8"/>
    <w:rsid w:val="006D55BB"/>
    <w:rsid w:val="006D5646"/>
    <w:rsid w:val="006D5837"/>
    <w:rsid w:val="006D73FE"/>
    <w:rsid w:val="006D78BD"/>
    <w:rsid w:val="006E033F"/>
    <w:rsid w:val="006E05AD"/>
    <w:rsid w:val="006E0B37"/>
    <w:rsid w:val="006E15E4"/>
    <w:rsid w:val="006E2870"/>
    <w:rsid w:val="006E2952"/>
    <w:rsid w:val="006E2B2B"/>
    <w:rsid w:val="006E43FF"/>
    <w:rsid w:val="006E60D7"/>
    <w:rsid w:val="006E63E6"/>
    <w:rsid w:val="006E6996"/>
    <w:rsid w:val="006E7B3A"/>
    <w:rsid w:val="006F0208"/>
    <w:rsid w:val="006F0404"/>
    <w:rsid w:val="006F10A2"/>
    <w:rsid w:val="006F1A0F"/>
    <w:rsid w:val="006F30BB"/>
    <w:rsid w:val="006F35EC"/>
    <w:rsid w:val="006F3612"/>
    <w:rsid w:val="006F412B"/>
    <w:rsid w:val="006F4140"/>
    <w:rsid w:val="006F51BB"/>
    <w:rsid w:val="006F5642"/>
    <w:rsid w:val="006F5E50"/>
    <w:rsid w:val="006F738A"/>
    <w:rsid w:val="006F7633"/>
    <w:rsid w:val="00700A5F"/>
    <w:rsid w:val="0070101C"/>
    <w:rsid w:val="0070234F"/>
    <w:rsid w:val="00702522"/>
    <w:rsid w:val="0070290B"/>
    <w:rsid w:val="007043B3"/>
    <w:rsid w:val="00704F13"/>
    <w:rsid w:val="00705FCC"/>
    <w:rsid w:val="00705FCE"/>
    <w:rsid w:val="00706494"/>
    <w:rsid w:val="007064C4"/>
    <w:rsid w:val="00706552"/>
    <w:rsid w:val="00707539"/>
    <w:rsid w:val="007100AF"/>
    <w:rsid w:val="00710C30"/>
    <w:rsid w:val="007114F0"/>
    <w:rsid w:val="0071282A"/>
    <w:rsid w:val="00712C92"/>
    <w:rsid w:val="00712D45"/>
    <w:rsid w:val="0071309A"/>
    <w:rsid w:val="0071315E"/>
    <w:rsid w:val="007134D7"/>
    <w:rsid w:val="007145D1"/>
    <w:rsid w:val="00714907"/>
    <w:rsid w:val="00714D0C"/>
    <w:rsid w:val="00714D66"/>
    <w:rsid w:val="0071559E"/>
    <w:rsid w:val="00715C28"/>
    <w:rsid w:val="00715D6D"/>
    <w:rsid w:val="00716380"/>
    <w:rsid w:val="007168FA"/>
    <w:rsid w:val="00717728"/>
    <w:rsid w:val="00717FB1"/>
    <w:rsid w:val="0072094B"/>
    <w:rsid w:val="00720A01"/>
    <w:rsid w:val="00721AAD"/>
    <w:rsid w:val="00721D26"/>
    <w:rsid w:val="00721E6A"/>
    <w:rsid w:val="00722021"/>
    <w:rsid w:val="007225CF"/>
    <w:rsid w:val="007229A3"/>
    <w:rsid w:val="007231DC"/>
    <w:rsid w:val="00723FFA"/>
    <w:rsid w:val="007243A8"/>
    <w:rsid w:val="007254CD"/>
    <w:rsid w:val="00725853"/>
    <w:rsid w:val="00725989"/>
    <w:rsid w:val="00725C29"/>
    <w:rsid w:val="00725D3B"/>
    <w:rsid w:val="007273AB"/>
    <w:rsid w:val="007300AD"/>
    <w:rsid w:val="00730431"/>
    <w:rsid w:val="00730FC4"/>
    <w:rsid w:val="00733277"/>
    <w:rsid w:val="00733442"/>
    <w:rsid w:val="007345B9"/>
    <w:rsid w:val="007349F1"/>
    <w:rsid w:val="0073511D"/>
    <w:rsid w:val="00735920"/>
    <w:rsid w:val="00735B75"/>
    <w:rsid w:val="00737AB7"/>
    <w:rsid w:val="00737E48"/>
    <w:rsid w:val="00737E98"/>
    <w:rsid w:val="00740FDC"/>
    <w:rsid w:val="00741A18"/>
    <w:rsid w:val="00742209"/>
    <w:rsid w:val="0074228A"/>
    <w:rsid w:val="0074292A"/>
    <w:rsid w:val="007430AD"/>
    <w:rsid w:val="0074326D"/>
    <w:rsid w:val="00743A52"/>
    <w:rsid w:val="00745335"/>
    <w:rsid w:val="00745627"/>
    <w:rsid w:val="007457E4"/>
    <w:rsid w:val="00745899"/>
    <w:rsid w:val="00746490"/>
    <w:rsid w:val="00746B32"/>
    <w:rsid w:val="00747204"/>
    <w:rsid w:val="007473C9"/>
    <w:rsid w:val="00747D25"/>
    <w:rsid w:val="007502DB"/>
    <w:rsid w:val="0075140B"/>
    <w:rsid w:val="00751FAE"/>
    <w:rsid w:val="00752BED"/>
    <w:rsid w:val="00755BD4"/>
    <w:rsid w:val="00756038"/>
    <w:rsid w:val="00756F25"/>
    <w:rsid w:val="00757806"/>
    <w:rsid w:val="00757BCC"/>
    <w:rsid w:val="00760645"/>
    <w:rsid w:val="00760662"/>
    <w:rsid w:val="00760D4C"/>
    <w:rsid w:val="00761304"/>
    <w:rsid w:val="00761C37"/>
    <w:rsid w:val="00761E7E"/>
    <w:rsid w:val="007627BC"/>
    <w:rsid w:val="007631E0"/>
    <w:rsid w:val="007643F0"/>
    <w:rsid w:val="00764475"/>
    <w:rsid w:val="00764B76"/>
    <w:rsid w:val="00764CB9"/>
    <w:rsid w:val="00764CDD"/>
    <w:rsid w:val="0076544C"/>
    <w:rsid w:val="00765B43"/>
    <w:rsid w:val="00765B7C"/>
    <w:rsid w:val="00770BFA"/>
    <w:rsid w:val="00770ED8"/>
    <w:rsid w:val="00771A88"/>
    <w:rsid w:val="0077203B"/>
    <w:rsid w:val="00772E36"/>
    <w:rsid w:val="00773B3B"/>
    <w:rsid w:val="00774235"/>
    <w:rsid w:val="007744BF"/>
    <w:rsid w:val="007753B5"/>
    <w:rsid w:val="00775600"/>
    <w:rsid w:val="00775DD3"/>
    <w:rsid w:val="00775FAC"/>
    <w:rsid w:val="0077605F"/>
    <w:rsid w:val="0077618F"/>
    <w:rsid w:val="00777690"/>
    <w:rsid w:val="007808C5"/>
    <w:rsid w:val="00780B71"/>
    <w:rsid w:val="00781141"/>
    <w:rsid w:val="00781DEB"/>
    <w:rsid w:val="00782273"/>
    <w:rsid w:val="007825E2"/>
    <w:rsid w:val="007826FA"/>
    <w:rsid w:val="0078355E"/>
    <w:rsid w:val="00783591"/>
    <w:rsid w:val="00783917"/>
    <w:rsid w:val="00783CB3"/>
    <w:rsid w:val="00783D1E"/>
    <w:rsid w:val="00783FBF"/>
    <w:rsid w:val="00783FE1"/>
    <w:rsid w:val="007840CD"/>
    <w:rsid w:val="00784110"/>
    <w:rsid w:val="00784A79"/>
    <w:rsid w:val="00787A6A"/>
    <w:rsid w:val="007914CB"/>
    <w:rsid w:val="0079162B"/>
    <w:rsid w:val="00792A24"/>
    <w:rsid w:val="00793483"/>
    <w:rsid w:val="007939EB"/>
    <w:rsid w:val="00793A63"/>
    <w:rsid w:val="00793E4A"/>
    <w:rsid w:val="0079511B"/>
    <w:rsid w:val="007954C0"/>
    <w:rsid w:val="007957A5"/>
    <w:rsid w:val="00795A12"/>
    <w:rsid w:val="00795D98"/>
    <w:rsid w:val="007960DB"/>
    <w:rsid w:val="00796332"/>
    <w:rsid w:val="00796F02"/>
    <w:rsid w:val="00796FCD"/>
    <w:rsid w:val="00797289"/>
    <w:rsid w:val="007979D2"/>
    <w:rsid w:val="00797E9B"/>
    <w:rsid w:val="007A0186"/>
    <w:rsid w:val="007A02B2"/>
    <w:rsid w:val="007A0991"/>
    <w:rsid w:val="007A1BB0"/>
    <w:rsid w:val="007A27C7"/>
    <w:rsid w:val="007A283D"/>
    <w:rsid w:val="007A2C2C"/>
    <w:rsid w:val="007A3033"/>
    <w:rsid w:val="007A3050"/>
    <w:rsid w:val="007A3470"/>
    <w:rsid w:val="007A357B"/>
    <w:rsid w:val="007A3D59"/>
    <w:rsid w:val="007A574E"/>
    <w:rsid w:val="007B0A0E"/>
    <w:rsid w:val="007B140D"/>
    <w:rsid w:val="007B1E7E"/>
    <w:rsid w:val="007B1E92"/>
    <w:rsid w:val="007B26AD"/>
    <w:rsid w:val="007B27E5"/>
    <w:rsid w:val="007B2DD3"/>
    <w:rsid w:val="007B3A27"/>
    <w:rsid w:val="007B40D8"/>
    <w:rsid w:val="007B4397"/>
    <w:rsid w:val="007B5630"/>
    <w:rsid w:val="007B7AA4"/>
    <w:rsid w:val="007B7B57"/>
    <w:rsid w:val="007B7F1D"/>
    <w:rsid w:val="007C032B"/>
    <w:rsid w:val="007C0F3D"/>
    <w:rsid w:val="007C11A7"/>
    <w:rsid w:val="007C24D4"/>
    <w:rsid w:val="007C2587"/>
    <w:rsid w:val="007C39FE"/>
    <w:rsid w:val="007C40E7"/>
    <w:rsid w:val="007C4FAC"/>
    <w:rsid w:val="007C5CD3"/>
    <w:rsid w:val="007C61DB"/>
    <w:rsid w:val="007C6759"/>
    <w:rsid w:val="007C6976"/>
    <w:rsid w:val="007C74BA"/>
    <w:rsid w:val="007D04BB"/>
    <w:rsid w:val="007D0B48"/>
    <w:rsid w:val="007D119D"/>
    <w:rsid w:val="007D1BC7"/>
    <w:rsid w:val="007D1F55"/>
    <w:rsid w:val="007D20DB"/>
    <w:rsid w:val="007D2D3B"/>
    <w:rsid w:val="007D3F18"/>
    <w:rsid w:val="007D40B9"/>
    <w:rsid w:val="007D4B99"/>
    <w:rsid w:val="007D54DD"/>
    <w:rsid w:val="007D6115"/>
    <w:rsid w:val="007D62C8"/>
    <w:rsid w:val="007D66E6"/>
    <w:rsid w:val="007D7143"/>
    <w:rsid w:val="007D749D"/>
    <w:rsid w:val="007D7C29"/>
    <w:rsid w:val="007D7F4B"/>
    <w:rsid w:val="007E0142"/>
    <w:rsid w:val="007E097A"/>
    <w:rsid w:val="007E0C5C"/>
    <w:rsid w:val="007E1F95"/>
    <w:rsid w:val="007E289A"/>
    <w:rsid w:val="007E2F59"/>
    <w:rsid w:val="007E36FC"/>
    <w:rsid w:val="007E395D"/>
    <w:rsid w:val="007E4E68"/>
    <w:rsid w:val="007E5C28"/>
    <w:rsid w:val="007E5C2D"/>
    <w:rsid w:val="007E6674"/>
    <w:rsid w:val="007E74AA"/>
    <w:rsid w:val="007F04E6"/>
    <w:rsid w:val="007F05AD"/>
    <w:rsid w:val="007F064F"/>
    <w:rsid w:val="007F0993"/>
    <w:rsid w:val="007F0F83"/>
    <w:rsid w:val="007F17E5"/>
    <w:rsid w:val="007F1FCB"/>
    <w:rsid w:val="007F256C"/>
    <w:rsid w:val="007F2E32"/>
    <w:rsid w:val="007F413C"/>
    <w:rsid w:val="007F4336"/>
    <w:rsid w:val="007F4B4B"/>
    <w:rsid w:val="007F4BA2"/>
    <w:rsid w:val="007F6BD0"/>
    <w:rsid w:val="007F769B"/>
    <w:rsid w:val="007F7BB3"/>
    <w:rsid w:val="00800AC8"/>
    <w:rsid w:val="008012F6"/>
    <w:rsid w:val="008023EF"/>
    <w:rsid w:val="008032AC"/>
    <w:rsid w:val="00803407"/>
    <w:rsid w:val="00803588"/>
    <w:rsid w:val="00803D2A"/>
    <w:rsid w:val="00804019"/>
    <w:rsid w:val="00804373"/>
    <w:rsid w:val="0080463F"/>
    <w:rsid w:val="0080546D"/>
    <w:rsid w:val="008056E5"/>
    <w:rsid w:val="008058B9"/>
    <w:rsid w:val="00805DF5"/>
    <w:rsid w:val="00806736"/>
    <w:rsid w:val="008077F5"/>
    <w:rsid w:val="008079F9"/>
    <w:rsid w:val="00811C8E"/>
    <w:rsid w:val="008128FE"/>
    <w:rsid w:val="008136E4"/>
    <w:rsid w:val="00813A83"/>
    <w:rsid w:val="00813DAE"/>
    <w:rsid w:val="00815390"/>
    <w:rsid w:val="0081539C"/>
    <w:rsid w:val="00815994"/>
    <w:rsid w:val="00815DCD"/>
    <w:rsid w:val="00816733"/>
    <w:rsid w:val="0081681B"/>
    <w:rsid w:val="00816DAD"/>
    <w:rsid w:val="0082015E"/>
    <w:rsid w:val="00821640"/>
    <w:rsid w:val="00821D22"/>
    <w:rsid w:val="00821F43"/>
    <w:rsid w:val="00821F94"/>
    <w:rsid w:val="00823FC2"/>
    <w:rsid w:val="0082414D"/>
    <w:rsid w:val="008253DC"/>
    <w:rsid w:val="00825FBF"/>
    <w:rsid w:val="00826504"/>
    <w:rsid w:val="0082657E"/>
    <w:rsid w:val="008279B5"/>
    <w:rsid w:val="00830453"/>
    <w:rsid w:val="00831C28"/>
    <w:rsid w:val="008324AD"/>
    <w:rsid w:val="00832D90"/>
    <w:rsid w:val="0083355B"/>
    <w:rsid w:val="00834D1C"/>
    <w:rsid w:val="00835D6B"/>
    <w:rsid w:val="008377D0"/>
    <w:rsid w:val="00837948"/>
    <w:rsid w:val="00837A01"/>
    <w:rsid w:val="00837A1D"/>
    <w:rsid w:val="00840854"/>
    <w:rsid w:val="00840BBB"/>
    <w:rsid w:val="00840F28"/>
    <w:rsid w:val="0084146A"/>
    <w:rsid w:val="00842147"/>
    <w:rsid w:val="0084218A"/>
    <w:rsid w:val="00842886"/>
    <w:rsid w:val="008429F6"/>
    <w:rsid w:val="00842B7E"/>
    <w:rsid w:val="00843120"/>
    <w:rsid w:val="00844976"/>
    <w:rsid w:val="008458E8"/>
    <w:rsid w:val="00846118"/>
    <w:rsid w:val="008463FC"/>
    <w:rsid w:val="00846BAA"/>
    <w:rsid w:val="008479FC"/>
    <w:rsid w:val="00847D95"/>
    <w:rsid w:val="00850151"/>
    <w:rsid w:val="008505F5"/>
    <w:rsid w:val="008519F6"/>
    <w:rsid w:val="008529FE"/>
    <w:rsid w:val="00853380"/>
    <w:rsid w:val="008533E6"/>
    <w:rsid w:val="00853FCE"/>
    <w:rsid w:val="008541CC"/>
    <w:rsid w:val="00854837"/>
    <w:rsid w:val="00854DD0"/>
    <w:rsid w:val="008559A2"/>
    <w:rsid w:val="00855A14"/>
    <w:rsid w:val="00855B61"/>
    <w:rsid w:val="008561C7"/>
    <w:rsid w:val="008563FB"/>
    <w:rsid w:val="0085678B"/>
    <w:rsid w:val="00856E4F"/>
    <w:rsid w:val="008574F7"/>
    <w:rsid w:val="00857628"/>
    <w:rsid w:val="00857CFA"/>
    <w:rsid w:val="00862CD5"/>
    <w:rsid w:val="00863623"/>
    <w:rsid w:val="00864943"/>
    <w:rsid w:val="00865057"/>
    <w:rsid w:val="008651D6"/>
    <w:rsid w:val="0086542F"/>
    <w:rsid w:val="00865F7C"/>
    <w:rsid w:val="00866CD9"/>
    <w:rsid w:val="0086700A"/>
    <w:rsid w:val="00867A58"/>
    <w:rsid w:val="0087023C"/>
    <w:rsid w:val="0087044A"/>
    <w:rsid w:val="00870493"/>
    <w:rsid w:val="0087053F"/>
    <w:rsid w:val="00870A00"/>
    <w:rsid w:val="00870DAF"/>
    <w:rsid w:val="00871B86"/>
    <w:rsid w:val="00872166"/>
    <w:rsid w:val="00872467"/>
    <w:rsid w:val="00872548"/>
    <w:rsid w:val="00872AE1"/>
    <w:rsid w:val="00872B5E"/>
    <w:rsid w:val="00872D81"/>
    <w:rsid w:val="0087363E"/>
    <w:rsid w:val="00873753"/>
    <w:rsid w:val="00874BFC"/>
    <w:rsid w:val="0087565C"/>
    <w:rsid w:val="00875F89"/>
    <w:rsid w:val="008763C6"/>
    <w:rsid w:val="00877C83"/>
    <w:rsid w:val="0088041D"/>
    <w:rsid w:val="0088123E"/>
    <w:rsid w:val="00881693"/>
    <w:rsid w:val="00882C28"/>
    <w:rsid w:val="00883663"/>
    <w:rsid w:val="00883F9E"/>
    <w:rsid w:val="00884055"/>
    <w:rsid w:val="0088488F"/>
    <w:rsid w:val="00885118"/>
    <w:rsid w:val="008854ED"/>
    <w:rsid w:val="00885C2F"/>
    <w:rsid w:val="008860EE"/>
    <w:rsid w:val="00886BFA"/>
    <w:rsid w:val="008873D2"/>
    <w:rsid w:val="00890A27"/>
    <w:rsid w:val="00890E48"/>
    <w:rsid w:val="00892501"/>
    <w:rsid w:val="00892EA5"/>
    <w:rsid w:val="0089327A"/>
    <w:rsid w:val="008947B8"/>
    <w:rsid w:val="00894BD0"/>
    <w:rsid w:val="008952EC"/>
    <w:rsid w:val="00897757"/>
    <w:rsid w:val="008977BE"/>
    <w:rsid w:val="00897D36"/>
    <w:rsid w:val="008A0520"/>
    <w:rsid w:val="008A2003"/>
    <w:rsid w:val="008A3D08"/>
    <w:rsid w:val="008A3D4C"/>
    <w:rsid w:val="008A47D6"/>
    <w:rsid w:val="008A53D1"/>
    <w:rsid w:val="008A5A8D"/>
    <w:rsid w:val="008A6D9E"/>
    <w:rsid w:val="008A7553"/>
    <w:rsid w:val="008A7EFF"/>
    <w:rsid w:val="008B0549"/>
    <w:rsid w:val="008B0AB3"/>
    <w:rsid w:val="008B0AE9"/>
    <w:rsid w:val="008B150E"/>
    <w:rsid w:val="008B1BD9"/>
    <w:rsid w:val="008B1DA2"/>
    <w:rsid w:val="008B1F30"/>
    <w:rsid w:val="008B24B4"/>
    <w:rsid w:val="008B28B5"/>
    <w:rsid w:val="008B34C1"/>
    <w:rsid w:val="008B4C62"/>
    <w:rsid w:val="008B52AE"/>
    <w:rsid w:val="008B5321"/>
    <w:rsid w:val="008B59B0"/>
    <w:rsid w:val="008B5E34"/>
    <w:rsid w:val="008B6AEC"/>
    <w:rsid w:val="008B7563"/>
    <w:rsid w:val="008B7B60"/>
    <w:rsid w:val="008C0434"/>
    <w:rsid w:val="008C13B6"/>
    <w:rsid w:val="008C17B8"/>
    <w:rsid w:val="008C1895"/>
    <w:rsid w:val="008C1CF5"/>
    <w:rsid w:val="008C20EB"/>
    <w:rsid w:val="008C27E7"/>
    <w:rsid w:val="008C2E65"/>
    <w:rsid w:val="008C34B2"/>
    <w:rsid w:val="008C3607"/>
    <w:rsid w:val="008C36CA"/>
    <w:rsid w:val="008C4465"/>
    <w:rsid w:val="008C48E1"/>
    <w:rsid w:val="008C4BED"/>
    <w:rsid w:val="008C6E01"/>
    <w:rsid w:val="008C723B"/>
    <w:rsid w:val="008C726C"/>
    <w:rsid w:val="008C737D"/>
    <w:rsid w:val="008C758D"/>
    <w:rsid w:val="008C7ACC"/>
    <w:rsid w:val="008C7EF1"/>
    <w:rsid w:val="008D0B59"/>
    <w:rsid w:val="008D153C"/>
    <w:rsid w:val="008D2ECF"/>
    <w:rsid w:val="008D34E3"/>
    <w:rsid w:val="008D3A01"/>
    <w:rsid w:val="008D3CAD"/>
    <w:rsid w:val="008D4126"/>
    <w:rsid w:val="008D43C7"/>
    <w:rsid w:val="008D49F1"/>
    <w:rsid w:val="008D50FB"/>
    <w:rsid w:val="008D5596"/>
    <w:rsid w:val="008D6F4D"/>
    <w:rsid w:val="008D7080"/>
    <w:rsid w:val="008D7E95"/>
    <w:rsid w:val="008E000E"/>
    <w:rsid w:val="008E0973"/>
    <w:rsid w:val="008E320C"/>
    <w:rsid w:val="008E3453"/>
    <w:rsid w:val="008E3575"/>
    <w:rsid w:val="008E368A"/>
    <w:rsid w:val="008E3DF8"/>
    <w:rsid w:val="008E5637"/>
    <w:rsid w:val="008E6528"/>
    <w:rsid w:val="008E691F"/>
    <w:rsid w:val="008E6D54"/>
    <w:rsid w:val="008E74FB"/>
    <w:rsid w:val="008F08EA"/>
    <w:rsid w:val="008F0D6A"/>
    <w:rsid w:val="008F2436"/>
    <w:rsid w:val="008F44E9"/>
    <w:rsid w:val="008F470D"/>
    <w:rsid w:val="008F5144"/>
    <w:rsid w:val="008F51AF"/>
    <w:rsid w:val="008F6161"/>
    <w:rsid w:val="008F6AB8"/>
    <w:rsid w:val="008F7217"/>
    <w:rsid w:val="008F7718"/>
    <w:rsid w:val="008F7D9A"/>
    <w:rsid w:val="009009FA"/>
    <w:rsid w:val="00900AE8"/>
    <w:rsid w:val="0090226C"/>
    <w:rsid w:val="00903D3D"/>
    <w:rsid w:val="00904287"/>
    <w:rsid w:val="009052B0"/>
    <w:rsid w:val="00906260"/>
    <w:rsid w:val="00907BF6"/>
    <w:rsid w:val="00910620"/>
    <w:rsid w:val="00912462"/>
    <w:rsid w:val="00912FF5"/>
    <w:rsid w:val="009137D3"/>
    <w:rsid w:val="00913A24"/>
    <w:rsid w:val="009155ED"/>
    <w:rsid w:val="0091640C"/>
    <w:rsid w:val="00916A24"/>
    <w:rsid w:val="0091770D"/>
    <w:rsid w:val="00917968"/>
    <w:rsid w:val="00920FDC"/>
    <w:rsid w:val="0092108A"/>
    <w:rsid w:val="009212BB"/>
    <w:rsid w:val="009218A4"/>
    <w:rsid w:val="009224C2"/>
    <w:rsid w:val="00922E4B"/>
    <w:rsid w:val="00923295"/>
    <w:rsid w:val="009243A7"/>
    <w:rsid w:val="009246B2"/>
    <w:rsid w:val="00924D56"/>
    <w:rsid w:val="0092560E"/>
    <w:rsid w:val="00925D80"/>
    <w:rsid w:val="00927E5C"/>
    <w:rsid w:val="009300D1"/>
    <w:rsid w:val="00930602"/>
    <w:rsid w:val="009323D5"/>
    <w:rsid w:val="00932A1B"/>
    <w:rsid w:val="00932FCF"/>
    <w:rsid w:val="00933CD8"/>
    <w:rsid w:val="00933DCC"/>
    <w:rsid w:val="00934C70"/>
    <w:rsid w:val="00936157"/>
    <w:rsid w:val="00936655"/>
    <w:rsid w:val="00936720"/>
    <w:rsid w:val="00936B5A"/>
    <w:rsid w:val="0093745B"/>
    <w:rsid w:val="00937B40"/>
    <w:rsid w:val="00937F12"/>
    <w:rsid w:val="00940B8D"/>
    <w:rsid w:val="009415AF"/>
    <w:rsid w:val="009416B8"/>
    <w:rsid w:val="00942107"/>
    <w:rsid w:val="00942509"/>
    <w:rsid w:val="009426EB"/>
    <w:rsid w:val="00943A2E"/>
    <w:rsid w:val="009449E0"/>
    <w:rsid w:val="00944DF9"/>
    <w:rsid w:val="00945A7D"/>
    <w:rsid w:val="00945E9C"/>
    <w:rsid w:val="00945EA9"/>
    <w:rsid w:val="00946288"/>
    <w:rsid w:val="0095025D"/>
    <w:rsid w:val="00950D01"/>
    <w:rsid w:val="00950E15"/>
    <w:rsid w:val="00951C9C"/>
    <w:rsid w:val="00952601"/>
    <w:rsid w:val="00952C3B"/>
    <w:rsid w:val="00955A57"/>
    <w:rsid w:val="00956EB2"/>
    <w:rsid w:val="00957015"/>
    <w:rsid w:val="00960BC7"/>
    <w:rsid w:val="009615F8"/>
    <w:rsid w:val="009616FB"/>
    <w:rsid w:val="00961D57"/>
    <w:rsid w:val="009621BA"/>
    <w:rsid w:val="0096323A"/>
    <w:rsid w:val="009637DA"/>
    <w:rsid w:val="009647A1"/>
    <w:rsid w:val="009666FD"/>
    <w:rsid w:val="00966986"/>
    <w:rsid w:val="00966D9B"/>
    <w:rsid w:val="00967133"/>
    <w:rsid w:val="00967FAF"/>
    <w:rsid w:val="00971754"/>
    <w:rsid w:val="00971A72"/>
    <w:rsid w:val="00972132"/>
    <w:rsid w:val="009728A2"/>
    <w:rsid w:val="0097307B"/>
    <w:rsid w:val="00973E47"/>
    <w:rsid w:val="00973FC8"/>
    <w:rsid w:val="00974049"/>
    <w:rsid w:val="00974C7A"/>
    <w:rsid w:val="0097632D"/>
    <w:rsid w:val="009764D4"/>
    <w:rsid w:val="00976672"/>
    <w:rsid w:val="00976EF1"/>
    <w:rsid w:val="00980512"/>
    <w:rsid w:val="009806B6"/>
    <w:rsid w:val="009810EA"/>
    <w:rsid w:val="009812C0"/>
    <w:rsid w:val="00981380"/>
    <w:rsid w:val="00981C34"/>
    <w:rsid w:val="00981C9C"/>
    <w:rsid w:val="00982302"/>
    <w:rsid w:val="0098240C"/>
    <w:rsid w:val="009832A6"/>
    <w:rsid w:val="00983F5A"/>
    <w:rsid w:val="00984A2A"/>
    <w:rsid w:val="00984C2F"/>
    <w:rsid w:val="00984F70"/>
    <w:rsid w:val="00986362"/>
    <w:rsid w:val="009863B4"/>
    <w:rsid w:val="00986CC9"/>
    <w:rsid w:val="00987BEA"/>
    <w:rsid w:val="00990940"/>
    <w:rsid w:val="00990CCD"/>
    <w:rsid w:val="009911B1"/>
    <w:rsid w:val="00991894"/>
    <w:rsid w:val="009919C3"/>
    <w:rsid w:val="0099377A"/>
    <w:rsid w:val="009941B6"/>
    <w:rsid w:val="009946C5"/>
    <w:rsid w:val="00994914"/>
    <w:rsid w:val="00995486"/>
    <w:rsid w:val="0099548F"/>
    <w:rsid w:val="009954EF"/>
    <w:rsid w:val="009956B4"/>
    <w:rsid w:val="00995F08"/>
    <w:rsid w:val="00996141"/>
    <w:rsid w:val="00996FD0"/>
    <w:rsid w:val="0099742F"/>
    <w:rsid w:val="009975AA"/>
    <w:rsid w:val="00997736"/>
    <w:rsid w:val="009977C2"/>
    <w:rsid w:val="009A0315"/>
    <w:rsid w:val="009A034B"/>
    <w:rsid w:val="009A0526"/>
    <w:rsid w:val="009A0ADE"/>
    <w:rsid w:val="009A10D4"/>
    <w:rsid w:val="009A1779"/>
    <w:rsid w:val="009A1D5A"/>
    <w:rsid w:val="009A1D5C"/>
    <w:rsid w:val="009A38AB"/>
    <w:rsid w:val="009A3985"/>
    <w:rsid w:val="009A39BA"/>
    <w:rsid w:val="009A4DE3"/>
    <w:rsid w:val="009A569A"/>
    <w:rsid w:val="009A59C7"/>
    <w:rsid w:val="009A6B83"/>
    <w:rsid w:val="009A6E3A"/>
    <w:rsid w:val="009B0323"/>
    <w:rsid w:val="009B09AB"/>
    <w:rsid w:val="009B184B"/>
    <w:rsid w:val="009B3AE4"/>
    <w:rsid w:val="009B3D01"/>
    <w:rsid w:val="009B4B10"/>
    <w:rsid w:val="009B61BA"/>
    <w:rsid w:val="009B6D7F"/>
    <w:rsid w:val="009B7265"/>
    <w:rsid w:val="009B79E7"/>
    <w:rsid w:val="009B7BD9"/>
    <w:rsid w:val="009B7C17"/>
    <w:rsid w:val="009C0E1B"/>
    <w:rsid w:val="009C1648"/>
    <w:rsid w:val="009C1975"/>
    <w:rsid w:val="009C1D37"/>
    <w:rsid w:val="009C21AA"/>
    <w:rsid w:val="009C3126"/>
    <w:rsid w:val="009C333B"/>
    <w:rsid w:val="009C4939"/>
    <w:rsid w:val="009C4B2D"/>
    <w:rsid w:val="009C5081"/>
    <w:rsid w:val="009C53A0"/>
    <w:rsid w:val="009C606E"/>
    <w:rsid w:val="009C64B3"/>
    <w:rsid w:val="009C66BF"/>
    <w:rsid w:val="009C688D"/>
    <w:rsid w:val="009C7534"/>
    <w:rsid w:val="009C7FC0"/>
    <w:rsid w:val="009D0349"/>
    <w:rsid w:val="009D1210"/>
    <w:rsid w:val="009D1E1A"/>
    <w:rsid w:val="009D1FEC"/>
    <w:rsid w:val="009D2099"/>
    <w:rsid w:val="009D23BC"/>
    <w:rsid w:val="009D2801"/>
    <w:rsid w:val="009D43DF"/>
    <w:rsid w:val="009D4D9A"/>
    <w:rsid w:val="009D628C"/>
    <w:rsid w:val="009D7925"/>
    <w:rsid w:val="009D7B06"/>
    <w:rsid w:val="009D7BF5"/>
    <w:rsid w:val="009E0CCD"/>
    <w:rsid w:val="009E1345"/>
    <w:rsid w:val="009E179A"/>
    <w:rsid w:val="009E2B65"/>
    <w:rsid w:val="009E2DD6"/>
    <w:rsid w:val="009E2E91"/>
    <w:rsid w:val="009E37FE"/>
    <w:rsid w:val="009E430B"/>
    <w:rsid w:val="009E4542"/>
    <w:rsid w:val="009E4D01"/>
    <w:rsid w:val="009E5FF1"/>
    <w:rsid w:val="009E6B07"/>
    <w:rsid w:val="009E6C07"/>
    <w:rsid w:val="009E6CBE"/>
    <w:rsid w:val="009E7440"/>
    <w:rsid w:val="009F0021"/>
    <w:rsid w:val="009F0A47"/>
    <w:rsid w:val="009F0E5C"/>
    <w:rsid w:val="009F13EE"/>
    <w:rsid w:val="009F16D6"/>
    <w:rsid w:val="009F1A67"/>
    <w:rsid w:val="009F1F69"/>
    <w:rsid w:val="009F2FBD"/>
    <w:rsid w:val="009F30CA"/>
    <w:rsid w:val="009F49D4"/>
    <w:rsid w:val="009F5358"/>
    <w:rsid w:val="009F5AA7"/>
    <w:rsid w:val="009F5E75"/>
    <w:rsid w:val="009F5F25"/>
    <w:rsid w:val="009F6127"/>
    <w:rsid w:val="009F66F8"/>
    <w:rsid w:val="009F6886"/>
    <w:rsid w:val="009F6B87"/>
    <w:rsid w:val="009F6D85"/>
    <w:rsid w:val="009F6F5E"/>
    <w:rsid w:val="00A0037C"/>
    <w:rsid w:val="00A01575"/>
    <w:rsid w:val="00A01733"/>
    <w:rsid w:val="00A019FD"/>
    <w:rsid w:val="00A02A1E"/>
    <w:rsid w:val="00A02A4A"/>
    <w:rsid w:val="00A02A5B"/>
    <w:rsid w:val="00A0336B"/>
    <w:rsid w:val="00A04E5B"/>
    <w:rsid w:val="00A06207"/>
    <w:rsid w:val="00A06316"/>
    <w:rsid w:val="00A1134D"/>
    <w:rsid w:val="00A113BC"/>
    <w:rsid w:val="00A117F0"/>
    <w:rsid w:val="00A11DE4"/>
    <w:rsid w:val="00A1236A"/>
    <w:rsid w:val="00A1316B"/>
    <w:rsid w:val="00A13ACC"/>
    <w:rsid w:val="00A13E5E"/>
    <w:rsid w:val="00A14175"/>
    <w:rsid w:val="00A143AB"/>
    <w:rsid w:val="00A145D8"/>
    <w:rsid w:val="00A14801"/>
    <w:rsid w:val="00A1534B"/>
    <w:rsid w:val="00A15676"/>
    <w:rsid w:val="00A15CB4"/>
    <w:rsid w:val="00A15E6C"/>
    <w:rsid w:val="00A1653C"/>
    <w:rsid w:val="00A16670"/>
    <w:rsid w:val="00A16806"/>
    <w:rsid w:val="00A1704F"/>
    <w:rsid w:val="00A172D4"/>
    <w:rsid w:val="00A17A40"/>
    <w:rsid w:val="00A20321"/>
    <w:rsid w:val="00A20DCF"/>
    <w:rsid w:val="00A20F70"/>
    <w:rsid w:val="00A21EDD"/>
    <w:rsid w:val="00A2247C"/>
    <w:rsid w:val="00A225CF"/>
    <w:rsid w:val="00A22A51"/>
    <w:rsid w:val="00A23207"/>
    <w:rsid w:val="00A23F23"/>
    <w:rsid w:val="00A24E33"/>
    <w:rsid w:val="00A25110"/>
    <w:rsid w:val="00A2543B"/>
    <w:rsid w:val="00A2670D"/>
    <w:rsid w:val="00A26A58"/>
    <w:rsid w:val="00A26E61"/>
    <w:rsid w:val="00A26EEA"/>
    <w:rsid w:val="00A27A71"/>
    <w:rsid w:val="00A311A0"/>
    <w:rsid w:val="00A3269D"/>
    <w:rsid w:val="00A338E7"/>
    <w:rsid w:val="00A34D61"/>
    <w:rsid w:val="00A34F72"/>
    <w:rsid w:val="00A37445"/>
    <w:rsid w:val="00A376BB"/>
    <w:rsid w:val="00A379EA"/>
    <w:rsid w:val="00A4117C"/>
    <w:rsid w:val="00A41296"/>
    <w:rsid w:val="00A419DD"/>
    <w:rsid w:val="00A43845"/>
    <w:rsid w:val="00A43F81"/>
    <w:rsid w:val="00A45354"/>
    <w:rsid w:val="00A45452"/>
    <w:rsid w:val="00A4620A"/>
    <w:rsid w:val="00A46C4F"/>
    <w:rsid w:val="00A46C6D"/>
    <w:rsid w:val="00A47049"/>
    <w:rsid w:val="00A4736E"/>
    <w:rsid w:val="00A47ABC"/>
    <w:rsid w:val="00A47B64"/>
    <w:rsid w:val="00A47DAB"/>
    <w:rsid w:val="00A507FF"/>
    <w:rsid w:val="00A50FDB"/>
    <w:rsid w:val="00A5108D"/>
    <w:rsid w:val="00A53188"/>
    <w:rsid w:val="00A531A4"/>
    <w:rsid w:val="00A53EB8"/>
    <w:rsid w:val="00A5522D"/>
    <w:rsid w:val="00A56DD4"/>
    <w:rsid w:val="00A63CAE"/>
    <w:rsid w:val="00A643AE"/>
    <w:rsid w:val="00A644D4"/>
    <w:rsid w:val="00A64527"/>
    <w:rsid w:val="00A64610"/>
    <w:rsid w:val="00A65243"/>
    <w:rsid w:val="00A65B71"/>
    <w:rsid w:val="00A666DF"/>
    <w:rsid w:val="00A66994"/>
    <w:rsid w:val="00A66A60"/>
    <w:rsid w:val="00A67071"/>
    <w:rsid w:val="00A67646"/>
    <w:rsid w:val="00A70827"/>
    <w:rsid w:val="00A70C19"/>
    <w:rsid w:val="00A717F8"/>
    <w:rsid w:val="00A72AB2"/>
    <w:rsid w:val="00A739C0"/>
    <w:rsid w:val="00A73E14"/>
    <w:rsid w:val="00A742D8"/>
    <w:rsid w:val="00A74CA7"/>
    <w:rsid w:val="00A75F0D"/>
    <w:rsid w:val="00A76194"/>
    <w:rsid w:val="00A76354"/>
    <w:rsid w:val="00A7644F"/>
    <w:rsid w:val="00A7682D"/>
    <w:rsid w:val="00A76C34"/>
    <w:rsid w:val="00A77B76"/>
    <w:rsid w:val="00A80A7F"/>
    <w:rsid w:val="00A80C26"/>
    <w:rsid w:val="00A81A94"/>
    <w:rsid w:val="00A81C30"/>
    <w:rsid w:val="00A82394"/>
    <w:rsid w:val="00A82872"/>
    <w:rsid w:val="00A830F3"/>
    <w:rsid w:val="00A833F1"/>
    <w:rsid w:val="00A8345F"/>
    <w:rsid w:val="00A834FD"/>
    <w:rsid w:val="00A83BEF"/>
    <w:rsid w:val="00A83D32"/>
    <w:rsid w:val="00A83F29"/>
    <w:rsid w:val="00A84C03"/>
    <w:rsid w:val="00A84CD3"/>
    <w:rsid w:val="00A86DDB"/>
    <w:rsid w:val="00A87053"/>
    <w:rsid w:val="00A87ACB"/>
    <w:rsid w:val="00A90057"/>
    <w:rsid w:val="00A9021F"/>
    <w:rsid w:val="00A91488"/>
    <w:rsid w:val="00A93BDA"/>
    <w:rsid w:val="00A94254"/>
    <w:rsid w:val="00A9465E"/>
    <w:rsid w:val="00A9518C"/>
    <w:rsid w:val="00A95CF0"/>
    <w:rsid w:val="00A95D88"/>
    <w:rsid w:val="00A96774"/>
    <w:rsid w:val="00A9712F"/>
    <w:rsid w:val="00A978D9"/>
    <w:rsid w:val="00AA0AC9"/>
    <w:rsid w:val="00AA0EDC"/>
    <w:rsid w:val="00AA0F0E"/>
    <w:rsid w:val="00AA0F9D"/>
    <w:rsid w:val="00AA0FED"/>
    <w:rsid w:val="00AA1652"/>
    <w:rsid w:val="00AA1FA5"/>
    <w:rsid w:val="00AA58A7"/>
    <w:rsid w:val="00AA5DCC"/>
    <w:rsid w:val="00AA605D"/>
    <w:rsid w:val="00AA6701"/>
    <w:rsid w:val="00AA6848"/>
    <w:rsid w:val="00AA6E51"/>
    <w:rsid w:val="00AA7EC4"/>
    <w:rsid w:val="00AA7EEF"/>
    <w:rsid w:val="00AB0434"/>
    <w:rsid w:val="00AB0D3D"/>
    <w:rsid w:val="00AB1B9D"/>
    <w:rsid w:val="00AB3D07"/>
    <w:rsid w:val="00AB4152"/>
    <w:rsid w:val="00AB4674"/>
    <w:rsid w:val="00AB4B0E"/>
    <w:rsid w:val="00AB4B2D"/>
    <w:rsid w:val="00AB509F"/>
    <w:rsid w:val="00AB5A94"/>
    <w:rsid w:val="00AB5F7C"/>
    <w:rsid w:val="00AB60FC"/>
    <w:rsid w:val="00AB6C7C"/>
    <w:rsid w:val="00AB73DD"/>
    <w:rsid w:val="00AB7DD1"/>
    <w:rsid w:val="00AB7F47"/>
    <w:rsid w:val="00AC1DDC"/>
    <w:rsid w:val="00AC3CFA"/>
    <w:rsid w:val="00AC4C3A"/>
    <w:rsid w:val="00AC5674"/>
    <w:rsid w:val="00AC5992"/>
    <w:rsid w:val="00AC5A1B"/>
    <w:rsid w:val="00AC643E"/>
    <w:rsid w:val="00AC7653"/>
    <w:rsid w:val="00AD27D1"/>
    <w:rsid w:val="00AD39B5"/>
    <w:rsid w:val="00AD3C22"/>
    <w:rsid w:val="00AD42E1"/>
    <w:rsid w:val="00AD430E"/>
    <w:rsid w:val="00AD45BD"/>
    <w:rsid w:val="00AD4C7C"/>
    <w:rsid w:val="00AD4EBE"/>
    <w:rsid w:val="00AD502E"/>
    <w:rsid w:val="00AD52CB"/>
    <w:rsid w:val="00AD6F20"/>
    <w:rsid w:val="00AD7544"/>
    <w:rsid w:val="00AD7562"/>
    <w:rsid w:val="00AD7A66"/>
    <w:rsid w:val="00AE1F30"/>
    <w:rsid w:val="00AE2E90"/>
    <w:rsid w:val="00AE2EB2"/>
    <w:rsid w:val="00AE2FF3"/>
    <w:rsid w:val="00AE4DF2"/>
    <w:rsid w:val="00AE560E"/>
    <w:rsid w:val="00AE5836"/>
    <w:rsid w:val="00AE58A8"/>
    <w:rsid w:val="00AE5D17"/>
    <w:rsid w:val="00AE6F10"/>
    <w:rsid w:val="00AE78CE"/>
    <w:rsid w:val="00AE7934"/>
    <w:rsid w:val="00AF0635"/>
    <w:rsid w:val="00AF0644"/>
    <w:rsid w:val="00AF0EFD"/>
    <w:rsid w:val="00AF1475"/>
    <w:rsid w:val="00AF17DC"/>
    <w:rsid w:val="00AF1E51"/>
    <w:rsid w:val="00AF1F9D"/>
    <w:rsid w:val="00AF2573"/>
    <w:rsid w:val="00AF2916"/>
    <w:rsid w:val="00AF336F"/>
    <w:rsid w:val="00AF3675"/>
    <w:rsid w:val="00AF37DE"/>
    <w:rsid w:val="00AF4A62"/>
    <w:rsid w:val="00AF58D6"/>
    <w:rsid w:val="00AF64D9"/>
    <w:rsid w:val="00AF6B17"/>
    <w:rsid w:val="00AF6E99"/>
    <w:rsid w:val="00AF7F8A"/>
    <w:rsid w:val="00B019B0"/>
    <w:rsid w:val="00B020E3"/>
    <w:rsid w:val="00B02874"/>
    <w:rsid w:val="00B02883"/>
    <w:rsid w:val="00B029F9"/>
    <w:rsid w:val="00B02AD8"/>
    <w:rsid w:val="00B035C3"/>
    <w:rsid w:val="00B0469A"/>
    <w:rsid w:val="00B05927"/>
    <w:rsid w:val="00B068B7"/>
    <w:rsid w:val="00B07F2F"/>
    <w:rsid w:val="00B10015"/>
    <w:rsid w:val="00B101D6"/>
    <w:rsid w:val="00B108DF"/>
    <w:rsid w:val="00B10937"/>
    <w:rsid w:val="00B10BC2"/>
    <w:rsid w:val="00B110A1"/>
    <w:rsid w:val="00B110E8"/>
    <w:rsid w:val="00B12CAA"/>
    <w:rsid w:val="00B1326A"/>
    <w:rsid w:val="00B13A59"/>
    <w:rsid w:val="00B14943"/>
    <w:rsid w:val="00B14BC4"/>
    <w:rsid w:val="00B15BE9"/>
    <w:rsid w:val="00B16481"/>
    <w:rsid w:val="00B206B8"/>
    <w:rsid w:val="00B21341"/>
    <w:rsid w:val="00B214A8"/>
    <w:rsid w:val="00B21BDF"/>
    <w:rsid w:val="00B228C0"/>
    <w:rsid w:val="00B22A18"/>
    <w:rsid w:val="00B22A70"/>
    <w:rsid w:val="00B22EE5"/>
    <w:rsid w:val="00B246BA"/>
    <w:rsid w:val="00B24892"/>
    <w:rsid w:val="00B25983"/>
    <w:rsid w:val="00B25B10"/>
    <w:rsid w:val="00B266D4"/>
    <w:rsid w:val="00B26F48"/>
    <w:rsid w:val="00B3185C"/>
    <w:rsid w:val="00B3201E"/>
    <w:rsid w:val="00B32364"/>
    <w:rsid w:val="00B32606"/>
    <w:rsid w:val="00B32CD9"/>
    <w:rsid w:val="00B33CAA"/>
    <w:rsid w:val="00B33DFF"/>
    <w:rsid w:val="00B34588"/>
    <w:rsid w:val="00B34DD8"/>
    <w:rsid w:val="00B3531D"/>
    <w:rsid w:val="00B35CBA"/>
    <w:rsid w:val="00B35EB3"/>
    <w:rsid w:val="00B36716"/>
    <w:rsid w:val="00B36BBF"/>
    <w:rsid w:val="00B376C0"/>
    <w:rsid w:val="00B37E08"/>
    <w:rsid w:val="00B37F41"/>
    <w:rsid w:val="00B4065E"/>
    <w:rsid w:val="00B40989"/>
    <w:rsid w:val="00B415C7"/>
    <w:rsid w:val="00B416DA"/>
    <w:rsid w:val="00B4194B"/>
    <w:rsid w:val="00B41977"/>
    <w:rsid w:val="00B41D08"/>
    <w:rsid w:val="00B42121"/>
    <w:rsid w:val="00B4343D"/>
    <w:rsid w:val="00B435A2"/>
    <w:rsid w:val="00B43A01"/>
    <w:rsid w:val="00B443FA"/>
    <w:rsid w:val="00B458F4"/>
    <w:rsid w:val="00B46AE8"/>
    <w:rsid w:val="00B46BD8"/>
    <w:rsid w:val="00B473FF"/>
    <w:rsid w:val="00B47734"/>
    <w:rsid w:val="00B47924"/>
    <w:rsid w:val="00B47B5C"/>
    <w:rsid w:val="00B508B1"/>
    <w:rsid w:val="00B513B0"/>
    <w:rsid w:val="00B53098"/>
    <w:rsid w:val="00B54C32"/>
    <w:rsid w:val="00B561CA"/>
    <w:rsid w:val="00B56523"/>
    <w:rsid w:val="00B56BE9"/>
    <w:rsid w:val="00B57E44"/>
    <w:rsid w:val="00B60E72"/>
    <w:rsid w:val="00B61456"/>
    <w:rsid w:val="00B6283D"/>
    <w:rsid w:val="00B6288F"/>
    <w:rsid w:val="00B62B36"/>
    <w:rsid w:val="00B62C24"/>
    <w:rsid w:val="00B62F5D"/>
    <w:rsid w:val="00B639C7"/>
    <w:rsid w:val="00B63DE4"/>
    <w:rsid w:val="00B64A20"/>
    <w:rsid w:val="00B6518A"/>
    <w:rsid w:val="00B65708"/>
    <w:rsid w:val="00B65EB1"/>
    <w:rsid w:val="00B662E5"/>
    <w:rsid w:val="00B66D23"/>
    <w:rsid w:val="00B70151"/>
    <w:rsid w:val="00B72857"/>
    <w:rsid w:val="00B72A4C"/>
    <w:rsid w:val="00B7314D"/>
    <w:rsid w:val="00B73B58"/>
    <w:rsid w:val="00B74427"/>
    <w:rsid w:val="00B75EAB"/>
    <w:rsid w:val="00B76C6D"/>
    <w:rsid w:val="00B80882"/>
    <w:rsid w:val="00B81020"/>
    <w:rsid w:val="00B82B73"/>
    <w:rsid w:val="00B83389"/>
    <w:rsid w:val="00B84DB2"/>
    <w:rsid w:val="00B85839"/>
    <w:rsid w:val="00B85995"/>
    <w:rsid w:val="00B85A24"/>
    <w:rsid w:val="00B85D9E"/>
    <w:rsid w:val="00B86F0C"/>
    <w:rsid w:val="00B87541"/>
    <w:rsid w:val="00B876B2"/>
    <w:rsid w:val="00B87FCA"/>
    <w:rsid w:val="00B91464"/>
    <w:rsid w:val="00B91868"/>
    <w:rsid w:val="00B91E45"/>
    <w:rsid w:val="00B9248F"/>
    <w:rsid w:val="00B92D93"/>
    <w:rsid w:val="00B92E9D"/>
    <w:rsid w:val="00B939FE"/>
    <w:rsid w:val="00B94AB5"/>
    <w:rsid w:val="00B94BFD"/>
    <w:rsid w:val="00B9535E"/>
    <w:rsid w:val="00B95CC8"/>
    <w:rsid w:val="00B95DEA"/>
    <w:rsid w:val="00B95E04"/>
    <w:rsid w:val="00B96D14"/>
    <w:rsid w:val="00B972F4"/>
    <w:rsid w:val="00B978AF"/>
    <w:rsid w:val="00B97C49"/>
    <w:rsid w:val="00BA0253"/>
    <w:rsid w:val="00BA03D9"/>
    <w:rsid w:val="00BA2654"/>
    <w:rsid w:val="00BA2D1E"/>
    <w:rsid w:val="00BA346C"/>
    <w:rsid w:val="00BA3703"/>
    <w:rsid w:val="00BA4AE9"/>
    <w:rsid w:val="00BA5F52"/>
    <w:rsid w:val="00BA6231"/>
    <w:rsid w:val="00BA6301"/>
    <w:rsid w:val="00BA743D"/>
    <w:rsid w:val="00BB0537"/>
    <w:rsid w:val="00BB26D9"/>
    <w:rsid w:val="00BB26FD"/>
    <w:rsid w:val="00BB2BA1"/>
    <w:rsid w:val="00BB33F9"/>
    <w:rsid w:val="00BB3F11"/>
    <w:rsid w:val="00BB417B"/>
    <w:rsid w:val="00BB4C2F"/>
    <w:rsid w:val="00BB4CB4"/>
    <w:rsid w:val="00BB53A6"/>
    <w:rsid w:val="00BB6D29"/>
    <w:rsid w:val="00BB78E2"/>
    <w:rsid w:val="00BC048C"/>
    <w:rsid w:val="00BC0A0C"/>
    <w:rsid w:val="00BC140C"/>
    <w:rsid w:val="00BC1516"/>
    <w:rsid w:val="00BC1672"/>
    <w:rsid w:val="00BC20C8"/>
    <w:rsid w:val="00BC2CA5"/>
    <w:rsid w:val="00BC2D62"/>
    <w:rsid w:val="00BC334D"/>
    <w:rsid w:val="00BC4156"/>
    <w:rsid w:val="00BC4850"/>
    <w:rsid w:val="00BC49B1"/>
    <w:rsid w:val="00BC4AC7"/>
    <w:rsid w:val="00BC6395"/>
    <w:rsid w:val="00BC644C"/>
    <w:rsid w:val="00BD0E4E"/>
    <w:rsid w:val="00BD2335"/>
    <w:rsid w:val="00BD2972"/>
    <w:rsid w:val="00BD2A17"/>
    <w:rsid w:val="00BD2CAA"/>
    <w:rsid w:val="00BD2D98"/>
    <w:rsid w:val="00BD406F"/>
    <w:rsid w:val="00BD4921"/>
    <w:rsid w:val="00BD4F90"/>
    <w:rsid w:val="00BD6206"/>
    <w:rsid w:val="00BD666B"/>
    <w:rsid w:val="00BD667A"/>
    <w:rsid w:val="00BD6734"/>
    <w:rsid w:val="00BD6797"/>
    <w:rsid w:val="00BD6C6B"/>
    <w:rsid w:val="00BD7261"/>
    <w:rsid w:val="00BE0E67"/>
    <w:rsid w:val="00BE1A28"/>
    <w:rsid w:val="00BE261A"/>
    <w:rsid w:val="00BE32E1"/>
    <w:rsid w:val="00BE3326"/>
    <w:rsid w:val="00BE38BA"/>
    <w:rsid w:val="00BE3999"/>
    <w:rsid w:val="00BE5086"/>
    <w:rsid w:val="00BE5581"/>
    <w:rsid w:val="00BE5F8C"/>
    <w:rsid w:val="00BE67F0"/>
    <w:rsid w:val="00BE6EF6"/>
    <w:rsid w:val="00BE759E"/>
    <w:rsid w:val="00BF033C"/>
    <w:rsid w:val="00BF09CF"/>
    <w:rsid w:val="00BF0B6E"/>
    <w:rsid w:val="00BF0EE8"/>
    <w:rsid w:val="00BF1679"/>
    <w:rsid w:val="00BF1C9B"/>
    <w:rsid w:val="00BF2643"/>
    <w:rsid w:val="00BF28BD"/>
    <w:rsid w:val="00BF2B98"/>
    <w:rsid w:val="00BF3924"/>
    <w:rsid w:val="00BF4042"/>
    <w:rsid w:val="00BF4740"/>
    <w:rsid w:val="00BF4BB9"/>
    <w:rsid w:val="00BF4EA2"/>
    <w:rsid w:val="00BF52F2"/>
    <w:rsid w:val="00BF562C"/>
    <w:rsid w:val="00BF5837"/>
    <w:rsid w:val="00BF65C1"/>
    <w:rsid w:val="00BF6CE9"/>
    <w:rsid w:val="00BF739B"/>
    <w:rsid w:val="00BF739C"/>
    <w:rsid w:val="00C00A57"/>
    <w:rsid w:val="00C013B0"/>
    <w:rsid w:val="00C01614"/>
    <w:rsid w:val="00C01B4E"/>
    <w:rsid w:val="00C01CFF"/>
    <w:rsid w:val="00C02516"/>
    <w:rsid w:val="00C02974"/>
    <w:rsid w:val="00C03137"/>
    <w:rsid w:val="00C03201"/>
    <w:rsid w:val="00C0404C"/>
    <w:rsid w:val="00C04635"/>
    <w:rsid w:val="00C04E7D"/>
    <w:rsid w:val="00C051AB"/>
    <w:rsid w:val="00C058C4"/>
    <w:rsid w:val="00C05A2B"/>
    <w:rsid w:val="00C0622A"/>
    <w:rsid w:val="00C10344"/>
    <w:rsid w:val="00C105C2"/>
    <w:rsid w:val="00C11030"/>
    <w:rsid w:val="00C1214D"/>
    <w:rsid w:val="00C12B0C"/>
    <w:rsid w:val="00C12D10"/>
    <w:rsid w:val="00C143AD"/>
    <w:rsid w:val="00C14487"/>
    <w:rsid w:val="00C15D46"/>
    <w:rsid w:val="00C15D77"/>
    <w:rsid w:val="00C1705B"/>
    <w:rsid w:val="00C17CF4"/>
    <w:rsid w:val="00C2211E"/>
    <w:rsid w:val="00C23D13"/>
    <w:rsid w:val="00C244C8"/>
    <w:rsid w:val="00C2468E"/>
    <w:rsid w:val="00C24743"/>
    <w:rsid w:val="00C25A13"/>
    <w:rsid w:val="00C26494"/>
    <w:rsid w:val="00C26879"/>
    <w:rsid w:val="00C26ACA"/>
    <w:rsid w:val="00C26EAC"/>
    <w:rsid w:val="00C2756F"/>
    <w:rsid w:val="00C27ACB"/>
    <w:rsid w:val="00C3028B"/>
    <w:rsid w:val="00C30F3C"/>
    <w:rsid w:val="00C3112F"/>
    <w:rsid w:val="00C319AE"/>
    <w:rsid w:val="00C33202"/>
    <w:rsid w:val="00C33E4A"/>
    <w:rsid w:val="00C33FCD"/>
    <w:rsid w:val="00C345C2"/>
    <w:rsid w:val="00C351F7"/>
    <w:rsid w:val="00C35785"/>
    <w:rsid w:val="00C35839"/>
    <w:rsid w:val="00C35A8C"/>
    <w:rsid w:val="00C369E2"/>
    <w:rsid w:val="00C36D46"/>
    <w:rsid w:val="00C3702E"/>
    <w:rsid w:val="00C37061"/>
    <w:rsid w:val="00C379DE"/>
    <w:rsid w:val="00C37FD8"/>
    <w:rsid w:val="00C4002D"/>
    <w:rsid w:val="00C40979"/>
    <w:rsid w:val="00C40B47"/>
    <w:rsid w:val="00C410B3"/>
    <w:rsid w:val="00C41628"/>
    <w:rsid w:val="00C42705"/>
    <w:rsid w:val="00C42D4C"/>
    <w:rsid w:val="00C430B6"/>
    <w:rsid w:val="00C4376C"/>
    <w:rsid w:val="00C44182"/>
    <w:rsid w:val="00C44375"/>
    <w:rsid w:val="00C4557A"/>
    <w:rsid w:val="00C465C2"/>
    <w:rsid w:val="00C47597"/>
    <w:rsid w:val="00C47826"/>
    <w:rsid w:val="00C50171"/>
    <w:rsid w:val="00C517C5"/>
    <w:rsid w:val="00C52EFD"/>
    <w:rsid w:val="00C534B4"/>
    <w:rsid w:val="00C53A54"/>
    <w:rsid w:val="00C53D41"/>
    <w:rsid w:val="00C54D68"/>
    <w:rsid w:val="00C55096"/>
    <w:rsid w:val="00C55781"/>
    <w:rsid w:val="00C56A37"/>
    <w:rsid w:val="00C57406"/>
    <w:rsid w:val="00C57DEF"/>
    <w:rsid w:val="00C6041D"/>
    <w:rsid w:val="00C615EA"/>
    <w:rsid w:val="00C618BA"/>
    <w:rsid w:val="00C62192"/>
    <w:rsid w:val="00C624D9"/>
    <w:rsid w:val="00C6264F"/>
    <w:rsid w:val="00C65116"/>
    <w:rsid w:val="00C6531E"/>
    <w:rsid w:val="00C66B34"/>
    <w:rsid w:val="00C6780E"/>
    <w:rsid w:val="00C67DE1"/>
    <w:rsid w:val="00C70567"/>
    <w:rsid w:val="00C7141D"/>
    <w:rsid w:val="00C715B2"/>
    <w:rsid w:val="00C716B3"/>
    <w:rsid w:val="00C71B10"/>
    <w:rsid w:val="00C72053"/>
    <w:rsid w:val="00C72401"/>
    <w:rsid w:val="00C728AB"/>
    <w:rsid w:val="00C72B82"/>
    <w:rsid w:val="00C72C91"/>
    <w:rsid w:val="00C75423"/>
    <w:rsid w:val="00C756C7"/>
    <w:rsid w:val="00C75956"/>
    <w:rsid w:val="00C7610F"/>
    <w:rsid w:val="00C76CEE"/>
    <w:rsid w:val="00C80AD1"/>
    <w:rsid w:val="00C80FB1"/>
    <w:rsid w:val="00C8130E"/>
    <w:rsid w:val="00C81778"/>
    <w:rsid w:val="00C82593"/>
    <w:rsid w:val="00C82BF2"/>
    <w:rsid w:val="00C82F71"/>
    <w:rsid w:val="00C83988"/>
    <w:rsid w:val="00C84049"/>
    <w:rsid w:val="00C843F7"/>
    <w:rsid w:val="00C84C5F"/>
    <w:rsid w:val="00C91301"/>
    <w:rsid w:val="00C91C44"/>
    <w:rsid w:val="00C93805"/>
    <w:rsid w:val="00C93B1D"/>
    <w:rsid w:val="00C94569"/>
    <w:rsid w:val="00C9499C"/>
    <w:rsid w:val="00C949E5"/>
    <w:rsid w:val="00C95647"/>
    <w:rsid w:val="00C96AA6"/>
    <w:rsid w:val="00C97A58"/>
    <w:rsid w:val="00CA12E4"/>
    <w:rsid w:val="00CA16EF"/>
    <w:rsid w:val="00CA1987"/>
    <w:rsid w:val="00CA19F6"/>
    <w:rsid w:val="00CA268B"/>
    <w:rsid w:val="00CA2B47"/>
    <w:rsid w:val="00CA3340"/>
    <w:rsid w:val="00CA369C"/>
    <w:rsid w:val="00CA57A4"/>
    <w:rsid w:val="00CA5AC0"/>
    <w:rsid w:val="00CA6849"/>
    <w:rsid w:val="00CA6C53"/>
    <w:rsid w:val="00CA795D"/>
    <w:rsid w:val="00CB0242"/>
    <w:rsid w:val="00CB052D"/>
    <w:rsid w:val="00CB095F"/>
    <w:rsid w:val="00CB15F4"/>
    <w:rsid w:val="00CB1816"/>
    <w:rsid w:val="00CB25CE"/>
    <w:rsid w:val="00CB2C04"/>
    <w:rsid w:val="00CB2CA4"/>
    <w:rsid w:val="00CB34B7"/>
    <w:rsid w:val="00CB475C"/>
    <w:rsid w:val="00CB4774"/>
    <w:rsid w:val="00CB5A55"/>
    <w:rsid w:val="00CB6162"/>
    <w:rsid w:val="00CB6F7F"/>
    <w:rsid w:val="00CB7157"/>
    <w:rsid w:val="00CB728F"/>
    <w:rsid w:val="00CB7A62"/>
    <w:rsid w:val="00CB7A78"/>
    <w:rsid w:val="00CB7BE5"/>
    <w:rsid w:val="00CC03D3"/>
    <w:rsid w:val="00CC0812"/>
    <w:rsid w:val="00CC0830"/>
    <w:rsid w:val="00CC0C0F"/>
    <w:rsid w:val="00CC117B"/>
    <w:rsid w:val="00CC125A"/>
    <w:rsid w:val="00CC1CBB"/>
    <w:rsid w:val="00CC25E8"/>
    <w:rsid w:val="00CC2CE3"/>
    <w:rsid w:val="00CC2E8E"/>
    <w:rsid w:val="00CC3270"/>
    <w:rsid w:val="00CC33BA"/>
    <w:rsid w:val="00CC3D7A"/>
    <w:rsid w:val="00CC4C5A"/>
    <w:rsid w:val="00CC4C9F"/>
    <w:rsid w:val="00CC53C1"/>
    <w:rsid w:val="00CC5E95"/>
    <w:rsid w:val="00CD0078"/>
    <w:rsid w:val="00CD09B0"/>
    <w:rsid w:val="00CD0E8E"/>
    <w:rsid w:val="00CD153F"/>
    <w:rsid w:val="00CD34F6"/>
    <w:rsid w:val="00CD3811"/>
    <w:rsid w:val="00CD3D9D"/>
    <w:rsid w:val="00CD4C97"/>
    <w:rsid w:val="00CD4CF8"/>
    <w:rsid w:val="00CD55B1"/>
    <w:rsid w:val="00CD5C5F"/>
    <w:rsid w:val="00CD78D4"/>
    <w:rsid w:val="00CE0FD9"/>
    <w:rsid w:val="00CE21CE"/>
    <w:rsid w:val="00CE26DA"/>
    <w:rsid w:val="00CE27AF"/>
    <w:rsid w:val="00CE3DF2"/>
    <w:rsid w:val="00CE4EAA"/>
    <w:rsid w:val="00CE4F3C"/>
    <w:rsid w:val="00CE6056"/>
    <w:rsid w:val="00CE6CEF"/>
    <w:rsid w:val="00CE72CB"/>
    <w:rsid w:val="00CE794F"/>
    <w:rsid w:val="00CF0CBE"/>
    <w:rsid w:val="00CF1067"/>
    <w:rsid w:val="00CF19DB"/>
    <w:rsid w:val="00CF1B48"/>
    <w:rsid w:val="00CF1E2E"/>
    <w:rsid w:val="00CF33B6"/>
    <w:rsid w:val="00CF3DC9"/>
    <w:rsid w:val="00CF3E0E"/>
    <w:rsid w:val="00CF3EC3"/>
    <w:rsid w:val="00CF43B6"/>
    <w:rsid w:val="00CF47E5"/>
    <w:rsid w:val="00CF52B6"/>
    <w:rsid w:val="00CF5C3E"/>
    <w:rsid w:val="00CF5CF7"/>
    <w:rsid w:val="00CF5DDD"/>
    <w:rsid w:val="00CF5FA4"/>
    <w:rsid w:val="00CF6342"/>
    <w:rsid w:val="00CF63DE"/>
    <w:rsid w:val="00D017BA"/>
    <w:rsid w:val="00D01838"/>
    <w:rsid w:val="00D01E43"/>
    <w:rsid w:val="00D020D2"/>
    <w:rsid w:val="00D022AE"/>
    <w:rsid w:val="00D02606"/>
    <w:rsid w:val="00D028FC"/>
    <w:rsid w:val="00D02C31"/>
    <w:rsid w:val="00D02D01"/>
    <w:rsid w:val="00D0385F"/>
    <w:rsid w:val="00D03AE9"/>
    <w:rsid w:val="00D03F14"/>
    <w:rsid w:val="00D046FC"/>
    <w:rsid w:val="00D047AE"/>
    <w:rsid w:val="00D04A9B"/>
    <w:rsid w:val="00D04AD7"/>
    <w:rsid w:val="00D0566D"/>
    <w:rsid w:val="00D0590E"/>
    <w:rsid w:val="00D06B3D"/>
    <w:rsid w:val="00D10813"/>
    <w:rsid w:val="00D115BD"/>
    <w:rsid w:val="00D12A41"/>
    <w:rsid w:val="00D12C87"/>
    <w:rsid w:val="00D12F26"/>
    <w:rsid w:val="00D13054"/>
    <w:rsid w:val="00D130DD"/>
    <w:rsid w:val="00D14021"/>
    <w:rsid w:val="00D14444"/>
    <w:rsid w:val="00D16335"/>
    <w:rsid w:val="00D1688C"/>
    <w:rsid w:val="00D17089"/>
    <w:rsid w:val="00D1710A"/>
    <w:rsid w:val="00D1739A"/>
    <w:rsid w:val="00D20E0C"/>
    <w:rsid w:val="00D20EEC"/>
    <w:rsid w:val="00D21451"/>
    <w:rsid w:val="00D215E3"/>
    <w:rsid w:val="00D22369"/>
    <w:rsid w:val="00D22923"/>
    <w:rsid w:val="00D22D6C"/>
    <w:rsid w:val="00D235A8"/>
    <w:rsid w:val="00D23949"/>
    <w:rsid w:val="00D246C3"/>
    <w:rsid w:val="00D25707"/>
    <w:rsid w:val="00D261A3"/>
    <w:rsid w:val="00D26EDA"/>
    <w:rsid w:val="00D26FE7"/>
    <w:rsid w:val="00D27342"/>
    <w:rsid w:val="00D324F5"/>
    <w:rsid w:val="00D330F7"/>
    <w:rsid w:val="00D333C6"/>
    <w:rsid w:val="00D336BE"/>
    <w:rsid w:val="00D348AF"/>
    <w:rsid w:val="00D34D0C"/>
    <w:rsid w:val="00D34DCF"/>
    <w:rsid w:val="00D35052"/>
    <w:rsid w:val="00D3566B"/>
    <w:rsid w:val="00D35706"/>
    <w:rsid w:val="00D35DFD"/>
    <w:rsid w:val="00D36147"/>
    <w:rsid w:val="00D3624F"/>
    <w:rsid w:val="00D368DE"/>
    <w:rsid w:val="00D36ACF"/>
    <w:rsid w:val="00D36BA6"/>
    <w:rsid w:val="00D37AF8"/>
    <w:rsid w:val="00D37B43"/>
    <w:rsid w:val="00D4120F"/>
    <w:rsid w:val="00D4168F"/>
    <w:rsid w:val="00D41AB5"/>
    <w:rsid w:val="00D4249D"/>
    <w:rsid w:val="00D43931"/>
    <w:rsid w:val="00D443A6"/>
    <w:rsid w:val="00D4509F"/>
    <w:rsid w:val="00D45395"/>
    <w:rsid w:val="00D4562D"/>
    <w:rsid w:val="00D456C6"/>
    <w:rsid w:val="00D4621C"/>
    <w:rsid w:val="00D46331"/>
    <w:rsid w:val="00D46904"/>
    <w:rsid w:val="00D46A03"/>
    <w:rsid w:val="00D46B43"/>
    <w:rsid w:val="00D46BD3"/>
    <w:rsid w:val="00D47A56"/>
    <w:rsid w:val="00D47A7D"/>
    <w:rsid w:val="00D50C56"/>
    <w:rsid w:val="00D52E92"/>
    <w:rsid w:val="00D5311F"/>
    <w:rsid w:val="00D54041"/>
    <w:rsid w:val="00D5435B"/>
    <w:rsid w:val="00D5508E"/>
    <w:rsid w:val="00D559F5"/>
    <w:rsid w:val="00D55D13"/>
    <w:rsid w:val="00D5630B"/>
    <w:rsid w:val="00D5689E"/>
    <w:rsid w:val="00D56B46"/>
    <w:rsid w:val="00D570A7"/>
    <w:rsid w:val="00D57732"/>
    <w:rsid w:val="00D57B38"/>
    <w:rsid w:val="00D609B4"/>
    <w:rsid w:val="00D60E66"/>
    <w:rsid w:val="00D61658"/>
    <w:rsid w:val="00D62626"/>
    <w:rsid w:val="00D62DE9"/>
    <w:rsid w:val="00D62EAA"/>
    <w:rsid w:val="00D650E6"/>
    <w:rsid w:val="00D659EF"/>
    <w:rsid w:val="00D669EC"/>
    <w:rsid w:val="00D66EEA"/>
    <w:rsid w:val="00D6728B"/>
    <w:rsid w:val="00D70562"/>
    <w:rsid w:val="00D705E4"/>
    <w:rsid w:val="00D71046"/>
    <w:rsid w:val="00D7203B"/>
    <w:rsid w:val="00D75AD2"/>
    <w:rsid w:val="00D76131"/>
    <w:rsid w:val="00D76349"/>
    <w:rsid w:val="00D76567"/>
    <w:rsid w:val="00D765DA"/>
    <w:rsid w:val="00D76CE3"/>
    <w:rsid w:val="00D7755C"/>
    <w:rsid w:val="00D776A2"/>
    <w:rsid w:val="00D77EE7"/>
    <w:rsid w:val="00D80278"/>
    <w:rsid w:val="00D811A0"/>
    <w:rsid w:val="00D81581"/>
    <w:rsid w:val="00D81FD5"/>
    <w:rsid w:val="00D82929"/>
    <w:rsid w:val="00D83545"/>
    <w:rsid w:val="00D8397C"/>
    <w:rsid w:val="00D83C5A"/>
    <w:rsid w:val="00D83E5F"/>
    <w:rsid w:val="00D83EB0"/>
    <w:rsid w:val="00D84850"/>
    <w:rsid w:val="00D8493B"/>
    <w:rsid w:val="00D8563D"/>
    <w:rsid w:val="00D859E1"/>
    <w:rsid w:val="00D871B5"/>
    <w:rsid w:val="00D87535"/>
    <w:rsid w:val="00D87542"/>
    <w:rsid w:val="00D87689"/>
    <w:rsid w:val="00D9051F"/>
    <w:rsid w:val="00D913D3"/>
    <w:rsid w:val="00D916F6"/>
    <w:rsid w:val="00D927C4"/>
    <w:rsid w:val="00D93493"/>
    <w:rsid w:val="00D94A4A"/>
    <w:rsid w:val="00D95A25"/>
    <w:rsid w:val="00DA06C0"/>
    <w:rsid w:val="00DA0FE8"/>
    <w:rsid w:val="00DA1023"/>
    <w:rsid w:val="00DA15CE"/>
    <w:rsid w:val="00DA1A50"/>
    <w:rsid w:val="00DA1D3D"/>
    <w:rsid w:val="00DA1FD7"/>
    <w:rsid w:val="00DA340E"/>
    <w:rsid w:val="00DA349B"/>
    <w:rsid w:val="00DA3AFC"/>
    <w:rsid w:val="00DA46AF"/>
    <w:rsid w:val="00DA4C24"/>
    <w:rsid w:val="00DA502E"/>
    <w:rsid w:val="00DA51E2"/>
    <w:rsid w:val="00DA668E"/>
    <w:rsid w:val="00DA702A"/>
    <w:rsid w:val="00DA7092"/>
    <w:rsid w:val="00DA7559"/>
    <w:rsid w:val="00DB06ED"/>
    <w:rsid w:val="00DB0CFB"/>
    <w:rsid w:val="00DB16C8"/>
    <w:rsid w:val="00DB17F0"/>
    <w:rsid w:val="00DB18C3"/>
    <w:rsid w:val="00DB28CD"/>
    <w:rsid w:val="00DB2EF2"/>
    <w:rsid w:val="00DB3719"/>
    <w:rsid w:val="00DB3E82"/>
    <w:rsid w:val="00DB3F16"/>
    <w:rsid w:val="00DB431D"/>
    <w:rsid w:val="00DB5792"/>
    <w:rsid w:val="00DB6009"/>
    <w:rsid w:val="00DB601C"/>
    <w:rsid w:val="00DB60B9"/>
    <w:rsid w:val="00DB70CB"/>
    <w:rsid w:val="00DB71A3"/>
    <w:rsid w:val="00DB763B"/>
    <w:rsid w:val="00DB7D91"/>
    <w:rsid w:val="00DC1624"/>
    <w:rsid w:val="00DC19E8"/>
    <w:rsid w:val="00DC216E"/>
    <w:rsid w:val="00DC2E4C"/>
    <w:rsid w:val="00DC2F9E"/>
    <w:rsid w:val="00DC4373"/>
    <w:rsid w:val="00DC4D8F"/>
    <w:rsid w:val="00DC528B"/>
    <w:rsid w:val="00DC59E5"/>
    <w:rsid w:val="00DC67E9"/>
    <w:rsid w:val="00DC6CC4"/>
    <w:rsid w:val="00DD05CE"/>
    <w:rsid w:val="00DD0D8B"/>
    <w:rsid w:val="00DD1369"/>
    <w:rsid w:val="00DD1D0B"/>
    <w:rsid w:val="00DD1D1C"/>
    <w:rsid w:val="00DD1E8F"/>
    <w:rsid w:val="00DD1F98"/>
    <w:rsid w:val="00DD277A"/>
    <w:rsid w:val="00DD2BEE"/>
    <w:rsid w:val="00DD39BD"/>
    <w:rsid w:val="00DD3A26"/>
    <w:rsid w:val="00DD42A2"/>
    <w:rsid w:val="00DD446A"/>
    <w:rsid w:val="00DD49EF"/>
    <w:rsid w:val="00DD5509"/>
    <w:rsid w:val="00DD5965"/>
    <w:rsid w:val="00DD5B68"/>
    <w:rsid w:val="00DD5EC3"/>
    <w:rsid w:val="00DD6754"/>
    <w:rsid w:val="00DD67C3"/>
    <w:rsid w:val="00DD682D"/>
    <w:rsid w:val="00DD7045"/>
    <w:rsid w:val="00DD7DF9"/>
    <w:rsid w:val="00DE0643"/>
    <w:rsid w:val="00DE128F"/>
    <w:rsid w:val="00DE1E30"/>
    <w:rsid w:val="00DE21EB"/>
    <w:rsid w:val="00DE25AC"/>
    <w:rsid w:val="00DE28E6"/>
    <w:rsid w:val="00DE2B85"/>
    <w:rsid w:val="00DE3D3F"/>
    <w:rsid w:val="00DE3E1C"/>
    <w:rsid w:val="00DE3E6E"/>
    <w:rsid w:val="00DE4E88"/>
    <w:rsid w:val="00DE53AF"/>
    <w:rsid w:val="00DE63AE"/>
    <w:rsid w:val="00DE7134"/>
    <w:rsid w:val="00DE7257"/>
    <w:rsid w:val="00DF0090"/>
    <w:rsid w:val="00DF096E"/>
    <w:rsid w:val="00DF0A42"/>
    <w:rsid w:val="00DF17C0"/>
    <w:rsid w:val="00DF1C97"/>
    <w:rsid w:val="00DF23F9"/>
    <w:rsid w:val="00DF2F26"/>
    <w:rsid w:val="00DF4705"/>
    <w:rsid w:val="00DF4F61"/>
    <w:rsid w:val="00DF50B6"/>
    <w:rsid w:val="00DF5250"/>
    <w:rsid w:val="00DF5445"/>
    <w:rsid w:val="00DF564C"/>
    <w:rsid w:val="00DF5B37"/>
    <w:rsid w:val="00DF61BC"/>
    <w:rsid w:val="00DF6C91"/>
    <w:rsid w:val="00E00450"/>
    <w:rsid w:val="00E00640"/>
    <w:rsid w:val="00E00B23"/>
    <w:rsid w:val="00E00C1B"/>
    <w:rsid w:val="00E00EC1"/>
    <w:rsid w:val="00E00F95"/>
    <w:rsid w:val="00E02F2C"/>
    <w:rsid w:val="00E041AB"/>
    <w:rsid w:val="00E046B9"/>
    <w:rsid w:val="00E070DB"/>
    <w:rsid w:val="00E077F1"/>
    <w:rsid w:val="00E07ADB"/>
    <w:rsid w:val="00E1029B"/>
    <w:rsid w:val="00E1039A"/>
    <w:rsid w:val="00E120D0"/>
    <w:rsid w:val="00E133C7"/>
    <w:rsid w:val="00E14CBF"/>
    <w:rsid w:val="00E16F0B"/>
    <w:rsid w:val="00E17922"/>
    <w:rsid w:val="00E1796C"/>
    <w:rsid w:val="00E20077"/>
    <w:rsid w:val="00E201E0"/>
    <w:rsid w:val="00E2172D"/>
    <w:rsid w:val="00E21809"/>
    <w:rsid w:val="00E21991"/>
    <w:rsid w:val="00E21B46"/>
    <w:rsid w:val="00E2229E"/>
    <w:rsid w:val="00E2336C"/>
    <w:rsid w:val="00E23D2C"/>
    <w:rsid w:val="00E240DA"/>
    <w:rsid w:val="00E24CFD"/>
    <w:rsid w:val="00E252C9"/>
    <w:rsid w:val="00E2538A"/>
    <w:rsid w:val="00E2546D"/>
    <w:rsid w:val="00E25644"/>
    <w:rsid w:val="00E2589C"/>
    <w:rsid w:val="00E259F4"/>
    <w:rsid w:val="00E26213"/>
    <w:rsid w:val="00E26747"/>
    <w:rsid w:val="00E26A81"/>
    <w:rsid w:val="00E26B53"/>
    <w:rsid w:val="00E27095"/>
    <w:rsid w:val="00E275DE"/>
    <w:rsid w:val="00E278E0"/>
    <w:rsid w:val="00E3051B"/>
    <w:rsid w:val="00E30F4B"/>
    <w:rsid w:val="00E310C8"/>
    <w:rsid w:val="00E31135"/>
    <w:rsid w:val="00E3195A"/>
    <w:rsid w:val="00E31A16"/>
    <w:rsid w:val="00E3225D"/>
    <w:rsid w:val="00E3227F"/>
    <w:rsid w:val="00E32642"/>
    <w:rsid w:val="00E32C32"/>
    <w:rsid w:val="00E3363F"/>
    <w:rsid w:val="00E34D2F"/>
    <w:rsid w:val="00E35B41"/>
    <w:rsid w:val="00E3642E"/>
    <w:rsid w:val="00E3671B"/>
    <w:rsid w:val="00E368BA"/>
    <w:rsid w:val="00E368DD"/>
    <w:rsid w:val="00E37916"/>
    <w:rsid w:val="00E405A2"/>
    <w:rsid w:val="00E40AF0"/>
    <w:rsid w:val="00E40F97"/>
    <w:rsid w:val="00E4108C"/>
    <w:rsid w:val="00E41328"/>
    <w:rsid w:val="00E41619"/>
    <w:rsid w:val="00E41C99"/>
    <w:rsid w:val="00E41CB9"/>
    <w:rsid w:val="00E422B7"/>
    <w:rsid w:val="00E422D3"/>
    <w:rsid w:val="00E427EA"/>
    <w:rsid w:val="00E42A9D"/>
    <w:rsid w:val="00E42E9D"/>
    <w:rsid w:val="00E43B25"/>
    <w:rsid w:val="00E43EAE"/>
    <w:rsid w:val="00E44759"/>
    <w:rsid w:val="00E466FE"/>
    <w:rsid w:val="00E46B61"/>
    <w:rsid w:val="00E476AE"/>
    <w:rsid w:val="00E50247"/>
    <w:rsid w:val="00E50C1B"/>
    <w:rsid w:val="00E51C8B"/>
    <w:rsid w:val="00E53D58"/>
    <w:rsid w:val="00E53D8B"/>
    <w:rsid w:val="00E53E5E"/>
    <w:rsid w:val="00E55B61"/>
    <w:rsid w:val="00E5616B"/>
    <w:rsid w:val="00E572A0"/>
    <w:rsid w:val="00E579E3"/>
    <w:rsid w:val="00E57BC2"/>
    <w:rsid w:val="00E60DDD"/>
    <w:rsid w:val="00E6184C"/>
    <w:rsid w:val="00E61ACD"/>
    <w:rsid w:val="00E61E29"/>
    <w:rsid w:val="00E6245C"/>
    <w:rsid w:val="00E624CD"/>
    <w:rsid w:val="00E62584"/>
    <w:rsid w:val="00E6297E"/>
    <w:rsid w:val="00E63088"/>
    <w:rsid w:val="00E634AE"/>
    <w:rsid w:val="00E6388A"/>
    <w:rsid w:val="00E64227"/>
    <w:rsid w:val="00E64AEB"/>
    <w:rsid w:val="00E67D5D"/>
    <w:rsid w:val="00E67DC7"/>
    <w:rsid w:val="00E702CB"/>
    <w:rsid w:val="00E71945"/>
    <w:rsid w:val="00E71B56"/>
    <w:rsid w:val="00E72998"/>
    <w:rsid w:val="00E731D6"/>
    <w:rsid w:val="00E7358F"/>
    <w:rsid w:val="00E73B25"/>
    <w:rsid w:val="00E73D97"/>
    <w:rsid w:val="00E73E6F"/>
    <w:rsid w:val="00E742FE"/>
    <w:rsid w:val="00E7596E"/>
    <w:rsid w:val="00E774B7"/>
    <w:rsid w:val="00E77D92"/>
    <w:rsid w:val="00E80B95"/>
    <w:rsid w:val="00E80E55"/>
    <w:rsid w:val="00E81143"/>
    <w:rsid w:val="00E81640"/>
    <w:rsid w:val="00E81DFB"/>
    <w:rsid w:val="00E84FD7"/>
    <w:rsid w:val="00E85295"/>
    <w:rsid w:val="00E857F0"/>
    <w:rsid w:val="00E858D8"/>
    <w:rsid w:val="00E85E64"/>
    <w:rsid w:val="00E86E36"/>
    <w:rsid w:val="00E87064"/>
    <w:rsid w:val="00E871E2"/>
    <w:rsid w:val="00E87516"/>
    <w:rsid w:val="00E87925"/>
    <w:rsid w:val="00E914CC"/>
    <w:rsid w:val="00E917B2"/>
    <w:rsid w:val="00E9195E"/>
    <w:rsid w:val="00E91A55"/>
    <w:rsid w:val="00E922CB"/>
    <w:rsid w:val="00E92439"/>
    <w:rsid w:val="00E92540"/>
    <w:rsid w:val="00E927BB"/>
    <w:rsid w:val="00E92979"/>
    <w:rsid w:val="00E93024"/>
    <w:rsid w:val="00E937C2"/>
    <w:rsid w:val="00E9424F"/>
    <w:rsid w:val="00E944F7"/>
    <w:rsid w:val="00E9455A"/>
    <w:rsid w:val="00E94D5C"/>
    <w:rsid w:val="00E95627"/>
    <w:rsid w:val="00E95D5A"/>
    <w:rsid w:val="00E96000"/>
    <w:rsid w:val="00E962F1"/>
    <w:rsid w:val="00E9654C"/>
    <w:rsid w:val="00E96B4A"/>
    <w:rsid w:val="00E97755"/>
    <w:rsid w:val="00E97C0F"/>
    <w:rsid w:val="00EA3D7C"/>
    <w:rsid w:val="00EA3DC0"/>
    <w:rsid w:val="00EA571D"/>
    <w:rsid w:val="00EA5C01"/>
    <w:rsid w:val="00EA65A1"/>
    <w:rsid w:val="00EA6725"/>
    <w:rsid w:val="00EA7367"/>
    <w:rsid w:val="00EB0528"/>
    <w:rsid w:val="00EB198C"/>
    <w:rsid w:val="00EB1E91"/>
    <w:rsid w:val="00EB298F"/>
    <w:rsid w:val="00EB29E4"/>
    <w:rsid w:val="00EB38C6"/>
    <w:rsid w:val="00EB394C"/>
    <w:rsid w:val="00EB3D3C"/>
    <w:rsid w:val="00EB4640"/>
    <w:rsid w:val="00EB4B83"/>
    <w:rsid w:val="00EB4CD8"/>
    <w:rsid w:val="00EB4F28"/>
    <w:rsid w:val="00EB5285"/>
    <w:rsid w:val="00EB540A"/>
    <w:rsid w:val="00EB555A"/>
    <w:rsid w:val="00EB584A"/>
    <w:rsid w:val="00EB6B87"/>
    <w:rsid w:val="00EB709E"/>
    <w:rsid w:val="00EB7AD1"/>
    <w:rsid w:val="00EC1901"/>
    <w:rsid w:val="00EC1B6B"/>
    <w:rsid w:val="00EC1F53"/>
    <w:rsid w:val="00EC28F1"/>
    <w:rsid w:val="00EC2B92"/>
    <w:rsid w:val="00EC2EA3"/>
    <w:rsid w:val="00EC38F7"/>
    <w:rsid w:val="00EC40DF"/>
    <w:rsid w:val="00EC4837"/>
    <w:rsid w:val="00EC4920"/>
    <w:rsid w:val="00EC4B44"/>
    <w:rsid w:val="00EC61E0"/>
    <w:rsid w:val="00EC6488"/>
    <w:rsid w:val="00EC7CD8"/>
    <w:rsid w:val="00ED0039"/>
    <w:rsid w:val="00ED015A"/>
    <w:rsid w:val="00ED0DE7"/>
    <w:rsid w:val="00ED1D7A"/>
    <w:rsid w:val="00ED20E9"/>
    <w:rsid w:val="00ED3AD3"/>
    <w:rsid w:val="00ED3E39"/>
    <w:rsid w:val="00ED409D"/>
    <w:rsid w:val="00ED451D"/>
    <w:rsid w:val="00ED4A4E"/>
    <w:rsid w:val="00ED4DF2"/>
    <w:rsid w:val="00ED50BB"/>
    <w:rsid w:val="00EE0F9D"/>
    <w:rsid w:val="00EE116E"/>
    <w:rsid w:val="00EE1ED7"/>
    <w:rsid w:val="00EE2060"/>
    <w:rsid w:val="00EE222B"/>
    <w:rsid w:val="00EE2306"/>
    <w:rsid w:val="00EE2D10"/>
    <w:rsid w:val="00EE401B"/>
    <w:rsid w:val="00EE415E"/>
    <w:rsid w:val="00EE548F"/>
    <w:rsid w:val="00EE56EF"/>
    <w:rsid w:val="00EE5BD0"/>
    <w:rsid w:val="00EE603C"/>
    <w:rsid w:val="00EE642E"/>
    <w:rsid w:val="00EE66D1"/>
    <w:rsid w:val="00EE7509"/>
    <w:rsid w:val="00EE7C5F"/>
    <w:rsid w:val="00EF058A"/>
    <w:rsid w:val="00EF0ADD"/>
    <w:rsid w:val="00EF11A6"/>
    <w:rsid w:val="00EF143B"/>
    <w:rsid w:val="00EF18A4"/>
    <w:rsid w:val="00EF1D8E"/>
    <w:rsid w:val="00EF1F14"/>
    <w:rsid w:val="00EF30CF"/>
    <w:rsid w:val="00EF316D"/>
    <w:rsid w:val="00EF331E"/>
    <w:rsid w:val="00EF3406"/>
    <w:rsid w:val="00EF5DED"/>
    <w:rsid w:val="00EF6C2A"/>
    <w:rsid w:val="00F0070D"/>
    <w:rsid w:val="00F00B97"/>
    <w:rsid w:val="00F0158A"/>
    <w:rsid w:val="00F01DB3"/>
    <w:rsid w:val="00F01E3E"/>
    <w:rsid w:val="00F020A9"/>
    <w:rsid w:val="00F02952"/>
    <w:rsid w:val="00F02D03"/>
    <w:rsid w:val="00F03358"/>
    <w:rsid w:val="00F0497B"/>
    <w:rsid w:val="00F05B23"/>
    <w:rsid w:val="00F05B5B"/>
    <w:rsid w:val="00F067FE"/>
    <w:rsid w:val="00F06CDF"/>
    <w:rsid w:val="00F116EA"/>
    <w:rsid w:val="00F11B3D"/>
    <w:rsid w:val="00F129A8"/>
    <w:rsid w:val="00F1310E"/>
    <w:rsid w:val="00F1343F"/>
    <w:rsid w:val="00F147CD"/>
    <w:rsid w:val="00F14A08"/>
    <w:rsid w:val="00F14C78"/>
    <w:rsid w:val="00F14E3A"/>
    <w:rsid w:val="00F150D9"/>
    <w:rsid w:val="00F15BBA"/>
    <w:rsid w:val="00F163C4"/>
    <w:rsid w:val="00F168CA"/>
    <w:rsid w:val="00F16C78"/>
    <w:rsid w:val="00F17114"/>
    <w:rsid w:val="00F17924"/>
    <w:rsid w:val="00F20CC2"/>
    <w:rsid w:val="00F210CF"/>
    <w:rsid w:val="00F2148D"/>
    <w:rsid w:val="00F22655"/>
    <w:rsid w:val="00F2278E"/>
    <w:rsid w:val="00F22905"/>
    <w:rsid w:val="00F234B2"/>
    <w:rsid w:val="00F238A7"/>
    <w:rsid w:val="00F23DB4"/>
    <w:rsid w:val="00F24414"/>
    <w:rsid w:val="00F24F70"/>
    <w:rsid w:val="00F254B7"/>
    <w:rsid w:val="00F255C0"/>
    <w:rsid w:val="00F26338"/>
    <w:rsid w:val="00F266B4"/>
    <w:rsid w:val="00F26766"/>
    <w:rsid w:val="00F26C34"/>
    <w:rsid w:val="00F27B67"/>
    <w:rsid w:val="00F3080E"/>
    <w:rsid w:val="00F30BF9"/>
    <w:rsid w:val="00F317D8"/>
    <w:rsid w:val="00F31B14"/>
    <w:rsid w:val="00F32917"/>
    <w:rsid w:val="00F32C01"/>
    <w:rsid w:val="00F32E63"/>
    <w:rsid w:val="00F333D9"/>
    <w:rsid w:val="00F336A3"/>
    <w:rsid w:val="00F34E87"/>
    <w:rsid w:val="00F350F2"/>
    <w:rsid w:val="00F359E2"/>
    <w:rsid w:val="00F35F9B"/>
    <w:rsid w:val="00F361A8"/>
    <w:rsid w:val="00F3744A"/>
    <w:rsid w:val="00F374CC"/>
    <w:rsid w:val="00F37B3F"/>
    <w:rsid w:val="00F400F3"/>
    <w:rsid w:val="00F4020D"/>
    <w:rsid w:val="00F406C8"/>
    <w:rsid w:val="00F407C9"/>
    <w:rsid w:val="00F42D3F"/>
    <w:rsid w:val="00F437AC"/>
    <w:rsid w:val="00F43DE7"/>
    <w:rsid w:val="00F44585"/>
    <w:rsid w:val="00F44873"/>
    <w:rsid w:val="00F44B84"/>
    <w:rsid w:val="00F4524E"/>
    <w:rsid w:val="00F45BB1"/>
    <w:rsid w:val="00F45CE2"/>
    <w:rsid w:val="00F45E66"/>
    <w:rsid w:val="00F47ABD"/>
    <w:rsid w:val="00F47BB2"/>
    <w:rsid w:val="00F5044D"/>
    <w:rsid w:val="00F5089F"/>
    <w:rsid w:val="00F50E27"/>
    <w:rsid w:val="00F51644"/>
    <w:rsid w:val="00F51BA4"/>
    <w:rsid w:val="00F53389"/>
    <w:rsid w:val="00F5472B"/>
    <w:rsid w:val="00F54E1C"/>
    <w:rsid w:val="00F563A9"/>
    <w:rsid w:val="00F56AAE"/>
    <w:rsid w:val="00F56EA8"/>
    <w:rsid w:val="00F5721F"/>
    <w:rsid w:val="00F5758C"/>
    <w:rsid w:val="00F5765D"/>
    <w:rsid w:val="00F57DE6"/>
    <w:rsid w:val="00F608CF"/>
    <w:rsid w:val="00F60F0E"/>
    <w:rsid w:val="00F61456"/>
    <w:rsid w:val="00F61A67"/>
    <w:rsid w:val="00F620C7"/>
    <w:rsid w:val="00F62429"/>
    <w:rsid w:val="00F62908"/>
    <w:rsid w:val="00F63BFE"/>
    <w:rsid w:val="00F644C3"/>
    <w:rsid w:val="00F64802"/>
    <w:rsid w:val="00F65A25"/>
    <w:rsid w:val="00F66731"/>
    <w:rsid w:val="00F66CE9"/>
    <w:rsid w:val="00F6750D"/>
    <w:rsid w:val="00F67766"/>
    <w:rsid w:val="00F6785F"/>
    <w:rsid w:val="00F7051B"/>
    <w:rsid w:val="00F70F3F"/>
    <w:rsid w:val="00F711BF"/>
    <w:rsid w:val="00F72459"/>
    <w:rsid w:val="00F7285B"/>
    <w:rsid w:val="00F72DC4"/>
    <w:rsid w:val="00F7338A"/>
    <w:rsid w:val="00F733F0"/>
    <w:rsid w:val="00F73B4B"/>
    <w:rsid w:val="00F73EBF"/>
    <w:rsid w:val="00F74864"/>
    <w:rsid w:val="00F74E11"/>
    <w:rsid w:val="00F75329"/>
    <w:rsid w:val="00F756A8"/>
    <w:rsid w:val="00F76931"/>
    <w:rsid w:val="00F7697C"/>
    <w:rsid w:val="00F76FFE"/>
    <w:rsid w:val="00F77A78"/>
    <w:rsid w:val="00F800CD"/>
    <w:rsid w:val="00F8011E"/>
    <w:rsid w:val="00F80D94"/>
    <w:rsid w:val="00F814F3"/>
    <w:rsid w:val="00F814F8"/>
    <w:rsid w:val="00F81C5A"/>
    <w:rsid w:val="00F839A9"/>
    <w:rsid w:val="00F83F4A"/>
    <w:rsid w:val="00F84257"/>
    <w:rsid w:val="00F84299"/>
    <w:rsid w:val="00F8463D"/>
    <w:rsid w:val="00F846AC"/>
    <w:rsid w:val="00F8596B"/>
    <w:rsid w:val="00F864A3"/>
    <w:rsid w:val="00F86789"/>
    <w:rsid w:val="00F86ABA"/>
    <w:rsid w:val="00F875D3"/>
    <w:rsid w:val="00F877BB"/>
    <w:rsid w:val="00F91EC1"/>
    <w:rsid w:val="00F93874"/>
    <w:rsid w:val="00F943CC"/>
    <w:rsid w:val="00F95147"/>
    <w:rsid w:val="00F97ED3"/>
    <w:rsid w:val="00FA11D7"/>
    <w:rsid w:val="00FA4432"/>
    <w:rsid w:val="00FA4860"/>
    <w:rsid w:val="00FA694E"/>
    <w:rsid w:val="00FA6F43"/>
    <w:rsid w:val="00FB07AD"/>
    <w:rsid w:val="00FB164C"/>
    <w:rsid w:val="00FB369A"/>
    <w:rsid w:val="00FB47A6"/>
    <w:rsid w:val="00FB6C40"/>
    <w:rsid w:val="00FB6C76"/>
    <w:rsid w:val="00FB6FAC"/>
    <w:rsid w:val="00FB7A38"/>
    <w:rsid w:val="00FB7D1D"/>
    <w:rsid w:val="00FC0012"/>
    <w:rsid w:val="00FC06FD"/>
    <w:rsid w:val="00FC09C4"/>
    <w:rsid w:val="00FC0BF4"/>
    <w:rsid w:val="00FC128B"/>
    <w:rsid w:val="00FC1333"/>
    <w:rsid w:val="00FC1759"/>
    <w:rsid w:val="00FC1902"/>
    <w:rsid w:val="00FC24F1"/>
    <w:rsid w:val="00FC24F4"/>
    <w:rsid w:val="00FC270D"/>
    <w:rsid w:val="00FC2E01"/>
    <w:rsid w:val="00FC3439"/>
    <w:rsid w:val="00FC480B"/>
    <w:rsid w:val="00FC4996"/>
    <w:rsid w:val="00FC4D85"/>
    <w:rsid w:val="00FC4E9B"/>
    <w:rsid w:val="00FC5BBD"/>
    <w:rsid w:val="00FC6228"/>
    <w:rsid w:val="00FC6BA5"/>
    <w:rsid w:val="00FC7C64"/>
    <w:rsid w:val="00FD0B8F"/>
    <w:rsid w:val="00FD0FDC"/>
    <w:rsid w:val="00FD1B64"/>
    <w:rsid w:val="00FD293C"/>
    <w:rsid w:val="00FD39B1"/>
    <w:rsid w:val="00FD3B0E"/>
    <w:rsid w:val="00FD6460"/>
    <w:rsid w:val="00FD6505"/>
    <w:rsid w:val="00FD663E"/>
    <w:rsid w:val="00FD695D"/>
    <w:rsid w:val="00FD708C"/>
    <w:rsid w:val="00FD7EAE"/>
    <w:rsid w:val="00FD7F2E"/>
    <w:rsid w:val="00FE0B79"/>
    <w:rsid w:val="00FE0C96"/>
    <w:rsid w:val="00FE0D36"/>
    <w:rsid w:val="00FE1F21"/>
    <w:rsid w:val="00FE1F6B"/>
    <w:rsid w:val="00FE207E"/>
    <w:rsid w:val="00FE31A7"/>
    <w:rsid w:val="00FE3446"/>
    <w:rsid w:val="00FE35CE"/>
    <w:rsid w:val="00FE4630"/>
    <w:rsid w:val="00FE486B"/>
    <w:rsid w:val="00FE4F27"/>
    <w:rsid w:val="00FE5002"/>
    <w:rsid w:val="00FE56B4"/>
    <w:rsid w:val="00FE6328"/>
    <w:rsid w:val="00FE6BE9"/>
    <w:rsid w:val="00FE6DBA"/>
    <w:rsid w:val="00FF065D"/>
    <w:rsid w:val="00FF0D26"/>
    <w:rsid w:val="00FF1388"/>
    <w:rsid w:val="00FF1A64"/>
    <w:rsid w:val="00FF27A0"/>
    <w:rsid w:val="00FF4464"/>
    <w:rsid w:val="00FF4CCD"/>
    <w:rsid w:val="00FF4D0F"/>
    <w:rsid w:val="00FF5FA4"/>
    <w:rsid w:val="00FF65DB"/>
    <w:rsid w:val="00FF6630"/>
    <w:rsid w:val="00FF6765"/>
    <w:rsid w:val="00FF68BE"/>
    <w:rsid w:val="00FF7143"/>
    <w:rsid w:val="0101314A"/>
    <w:rsid w:val="01024616"/>
    <w:rsid w:val="01027D2F"/>
    <w:rsid w:val="01066DA2"/>
    <w:rsid w:val="010B3D0C"/>
    <w:rsid w:val="01243909"/>
    <w:rsid w:val="012B24DC"/>
    <w:rsid w:val="01315E66"/>
    <w:rsid w:val="014124E5"/>
    <w:rsid w:val="014E5E2D"/>
    <w:rsid w:val="015238D3"/>
    <w:rsid w:val="01636492"/>
    <w:rsid w:val="0164420C"/>
    <w:rsid w:val="017316C8"/>
    <w:rsid w:val="017320A9"/>
    <w:rsid w:val="01882793"/>
    <w:rsid w:val="018E678F"/>
    <w:rsid w:val="019A25A1"/>
    <w:rsid w:val="01A9616C"/>
    <w:rsid w:val="01B042BC"/>
    <w:rsid w:val="01CB6919"/>
    <w:rsid w:val="01D81332"/>
    <w:rsid w:val="01DD4564"/>
    <w:rsid w:val="01DF7F5A"/>
    <w:rsid w:val="01E53F92"/>
    <w:rsid w:val="01F40F97"/>
    <w:rsid w:val="01F5176A"/>
    <w:rsid w:val="01FB1B6D"/>
    <w:rsid w:val="02050276"/>
    <w:rsid w:val="022709A9"/>
    <w:rsid w:val="022779BD"/>
    <w:rsid w:val="022F792D"/>
    <w:rsid w:val="023B2617"/>
    <w:rsid w:val="024648BE"/>
    <w:rsid w:val="02661A11"/>
    <w:rsid w:val="0275460E"/>
    <w:rsid w:val="027835BE"/>
    <w:rsid w:val="02880AEB"/>
    <w:rsid w:val="02895B83"/>
    <w:rsid w:val="028C3D49"/>
    <w:rsid w:val="029132F9"/>
    <w:rsid w:val="029E1822"/>
    <w:rsid w:val="02B7375E"/>
    <w:rsid w:val="02B748A5"/>
    <w:rsid w:val="02C63A4D"/>
    <w:rsid w:val="02CB0C47"/>
    <w:rsid w:val="02DD3934"/>
    <w:rsid w:val="02F47295"/>
    <w:rsid w:val="03035F44"/>
    <w:rsid w:val="03117AD4"/>
    <w:rsid w:val="031E1125"/>
    <w:rsid w:val="03212FD3"/>
    <w:rsid w:val="032C2778"/>
    <w:rsid w:val="032D3BC5"/>
    <w:rsid w:val="03320327"/>
    <w:rsid w:val="03354A3D"/>
    <w:rsid w:val="03413481"/>
    <w:rsid w:val="03444DBF"/>
    <w:rsid w:val="034A74AC"/>
    <w:rsid w:val="035A7B56"/>
    <w:rsid w:val="035F0C10"/>
    <w:rsid w:val="036E5F64"/>
    <w:rsid w:val="037735AA"/>
    <w:rsid w:val="037B25BA"/>
    <w:rsid w:val="03886EB9"/>
    <w:rsid w:val="038A0F28"/>
    <w:rsid w:val="03B9674A"/>
    <w:rsid w:val="03BD3B2F"/>
    <w:rsid w:val="03CF42F3"/>
    <w:rsid w:val="03E5062D"/>
    <w:rsid w:val="03E54B37"/>
    <w:rsid w:val="03E96CC3"/>
    <w:rsid w:val="03F11E80"/>
    <w:rsid w:val="040065FC"/>
    <w:rsid w:val="04072506"/>
    <w:rsid w:val="04206646"/>
    <w:rsid w:val="042F2253"/>
    <w:rsid w:val="0445104E"/>
    <w:rsid w:val="044B3EFC"/>
    <w:rsid w:val="046F7236"/>
    <w:rsid w:val="0479545F"/>
    <w:rsid w:val="04810F80"/>
    <w:rsid w:val="04947BC7"/>
    <w:rsid w:val="049840DF"/>
    <w:rsid w:val="049C0B9B"/>
    <w:rsid w:val="049C3E23"/>
    <w:rsid w:val="04AE2D03"/>
    <w:rsid w:val="04C26B47"/>
    <w:rsid w:val="04D07A5D"/>
    <w:rsid w:val="04D74E0A"/>
    <w:rsid w:val="04E453EF"/>
    <w:rsid w:val="04F1193E"/>
    <w:rsid w:val="04F77099"/>
    <w:rsid w:val="04FE6745"/>
    <w:rsid w:val="05167A35"/>
    <w:rsid w:val="051A1ADB"/>
    <w:rsid w:val="051C00B5"/>
    <w:rsid w:val="05400E08"/>
    <w:rsid w:val="054C2E95"/>
    <w:rsid w:val="055B3E87"/>
    <w:rsid w:val="057228FE"/>
    <w:rsid w:val="0574236E"/>
    <w:rsid w:val="05773D09"/>
    <w:rsid w:val="057C40E5"/>
    <w:rsid w:val="0583043A"/>
    <w:rsid w:val="059E6941"/>
    <w:rsid w:val="05A35B93"/>
    <w:rsid w:val="05BF7018"/>
    <w:rsid w:val="05C50A48"/>
    <w:rsid w:val="05D11FE7"/>
    <w:rsid w:val="05D256E8"/>
    <w:rsid w:val="05F64C17"/>
    <w:rsid w:val="06044C93"/>
    <w:rsid w:val="060A174C"/>
    <w:rsid w:val="06107EED"/>
    <w:rsid w:val="06140CBE"/>
    <w:rsid w:val="061E4347"/>
    <w:rsid w:val="061F7858"/>
    <w:rsid w:val="0645543E"/>
    <w:rsid w:val="064C70F7"/>
    <w:rsid w:val="0658098A"/>
    <w:rsid w:val="06592AE0"/>
    <w:rsid w:val="06690CA9"/>
    <w:rsid w:val="067E57D8"/>
    <w:rsid w:val="068878DF"/>
    <w:rsid w:val="068D3C14"/>
    <w:rsid w:val="069114AA"/>
    <w:rsid w:val="06A61A4F"/>
    <w:rsid w:val="06AA161B"/>
    <w:rsid w:val="06AB431A"/>
    <w:rsid w:val="06B42E89"/>
    <w:rsid w:val="06B61C46"/>
    <w:rsid w:val="06C5340D"/>
    <w:rsid w:val="06D96FDE"/>
    <w:rsid w:val="06EC06B2"/>
    <w:rsid w:val="07011F96"/>
    <w:rsid w:val="070416B3"/>
    <w:rsid w:val="0709105E"/>
    <w:rsid w:val="070C3C09"/>
    <w:rsid w:val="070F102F"/>
    <w:rsid w:val="07133406"/>
    <w:rsid w:val="0724622A"/>
    <w:rsid w:val="07246D42"/>
    <w:rsid w:val="072D6037"/>
    <w:rsid w:val="072F646B"/>
    <w:rsid w:val="073053AD"/>
    <w:rsid w:val="07341C4F"/>
    <w:rsid w:val="0736255C"/>
    <w:rsid w:val="074058A0"/>
    <w:rsid w:val="07445CF1"/>
    <w:rsid w:val="074C58A9"/>
    <w:rsid w:val="075675DB"/>
    <w:rsid w:val="07581EC9"/>
    <w:rsid w:val="076A08CA"/>
    <w:rsid w:val="077541EA"/>
    <w:rsid w:val="07771690"/>
    <w:rsid w:val="07852DBD"/>
    <w:rsid w:val="07892AEB"/>
    <w:rsid w:val="079E6BBB"/>
    <w:rsid w:val="07A04C87"/>
    <w:rsid w:val="07A15DCB"/>
    <w:rsid w:val="07A82A3C"/>
    <w:rsid w:val="07AD2FBF"/>
    <w:rsid w:val="07B80714"/>
    <w:rsid w:val="07CD58BE"/>
    <w:rsid w:val="07E9189E"/>
    <w:rsid w:val="07F90F0D"/>
    <w:rsid w:val="07FA1170"/>
    <w:rsid w:val="07FB635D"/>
    <w:rsid w:val="08004E97"/>
    <w:rsid w:val="080E7540"/>
    <w:rsid w:val="080F2A2F"/>
    <w:rsid w:val="081515AA"/>
    <w:rsid w:val="08302EF4"/>
    <w:rsid w:val="08352E2C"/>
    <w:rsid w:val="084533BB"/>
    <w:rsid w:val="084A58B0"/>
    <w:rsid w:val="084D5727"/>
    <w:rsid w:val="08623A40"/>
    <w:rsid w:val="086810C4"/>
    <w:rsid w:val="086D6FE9"/>
    <w:rsid w:val="08755495"/>
    <w:rsid w:val="087A2A7E"/>
    <w:rsid w:val="088C6D5F"/>
    <w:rsid w:val="08A05906"/>
    <w:rsid w:val="08A11B4D"/>
    <w:rsid w:val="08A17795"/>
    <w:rsid w:val="08A65F3D"/>
    <w:rsid w:val="08A736C5"/>
    <w:rsid w:val="08A96637"/>
    <w:rsid w:val="08B07E75"/>
    <w:rsid w:val="08CF49BC"/>
    <w:rsid w:val="08DF5FE8"/>
    <w:rsid w:val="08E80A76"/>
    <w:rsid w:val="08EC0072"/>
    <w:rsid w:val="08F17F4F"/>
    <w:rsid w:val="08F32FAF"/>
    <w:rsid w:val="08F90032"/>
    <w:rsid w:val="090D3579"/>
    <w:rsid w:val="090E4B3E"/>
    <w:rsid w:val="09124DCB"/>
    <w:rsid w:val="091343F8"/>
    <w:rsid w:val="09147B9C"/>
    <w:rsid w:val="091C26E4"/>
    <w:rsid w:val="094264C4"/>
    <w:rsid w:val="094434C2"/>
    <w:rsid w:val="09530311"/>
    <w:rsid w:val="095645EB"/>
    <w:rsid w:val="096361E8"/>
    <w:rsid w:val="096C7E23"/>
    <w:rsid w:val="09700726"/>
    <w:rsid w:val="09751E44"/>
    <w:rsid w:val="0988659E"/>
    <w:rsid w:val="098F5AF2"/>
    <w:rsid w:val="0991597D"/>
    <w:rsid w:val="099A300C"/>
    <w:rsid w:val="09A51DE3"/>
    <w:rsid w:val="09B35D1F"/>
    <w:rsid w:val="09B4068F"/>
    <w:rsid w:val="09BE2728"/>
    <w:rsid w:val="09CC2C1F"/>
    <w:rsid w:val="09D86039"/>
    <w:rsid w:val="09E043F6"/>
    <w:rsid w:val="09E905AB"/>
    <w:rsid w:val="09FF3425"/>
    <w:rsid w:val="0A074EA9"/>
    <w:rsid w:val="0A0B5241"/>
    <w:rsid w:val="0A1C2CCF"/>
    <w:rsid w:val="0A1D2CBC"/>
    <w:rsid w:val="0A1F40CD"/>
    <w:rsid w:val="0A2264E5"/>
    <w:rsid w:val="0A280144"/>
    <w:rsid w:val="0A340F0A"/>
    <w:rsid w:val="0A3718DF"/>
    <w:rsid w:val="0A46192C"/>
    <w:rsid w:val="0A4F31CD"/>
    <w:rsid w:val="0A553A24"/>
    <w:rsid w:val="0A5B0490"/>
    <w:rsid w:val="0A6207DC"/>
    <w:rsid w:val="0A6553E8"/>
    <w:rsid w:val="0A68423F"/>
    <w:rsid w:val="0A6937DF"/>
    <w:rsid w:val="0A6C5AA2"/>
    <w:rsid w:val="0A854B70"/>
    <w:rsid w:val="0A885EE4"/>
    <w:rsid w:val="0A904215"/>
    <w:rsid w:val="0A99511C"/>
    <w:rsid w:val="0A9E5CF4"/>
    <w:rsid w:val="0AAC394B"/>
    <w:rsid w:val="0AB72098"/>
    <w:rsid w:val="0AC55C52"/>
    <w:rsid w:val="0AC55CF0"/>
    <w:rsid w:val="0AD3309A"/>
    <w:rsid w:val="0ADA25A9"/>
    <w:rsid w:val="0ADA6002"/>
    <w:rsid w:val="0AE13884"/>
    <w:rsid w:val="0AE406F4"/>
    <w:rsid w:val="0AF41F9E"/>
    <w:rsid w:val="0B1D524B"/>
    <w:rsid w:val="0B460406"/>
    <w:rsid w:val="0B560224"/>
    <w:rsid w:val="0B572632"/>
    <w:rsid w:val="0B5D5AE6"/>
    <w:rsid w:val="0B631560"/>
    <w:rsid w:val="0B72595D"/>
    <w:rsid w:val="0B7E20E5"/>
    <w:rsid w:val="0B8B1EE3"/>
    <w:rsid w:val="0B90677C"/>
    <w:rsid w:val="0B9255C4"/>
    <w:rsid w:val="0B930071"/>
    <w:rsid w:val="0BA604CF"/>
    <w:rsid w:val="0BA718E7"/>
    <w:rsid w:val="0BA84B0C"/>
    <w:rsid w:val="0BBC7DEA"/>
    <w:rsid w:val="0BF04317"/>
    <w:rsid w:val="0BFB0BBF"/>
    <w:rsid w:val="0C075286"/>
    <w:rsid w:val="0C3158F8"/>
    <w:rsid w:val="0C4A7E93"/>
    <w:rsid w:val="0C604A1B"/>
    <w:rsid w:val="0C801BD1"/>
    <w:rsid w:val="0C954D5E"/>
    <w:rsid w:val="0CA0589C"/>
    <w:rsid w:val="0CAC38DF"/>
    <w:rsid w:val="0CB57BC4"/>
    <w:rsid w:val="0CB6167F"/>
    <w:rsid w:val="0CBF7757"/>
    <w:rsid w:val="0CC0021A"/>
    <w:rsid w:val="0CC97CB7"/>
    <w:rsid w:val="0CCB0DA4"/>
    <w:rsid w:val="0CCD32F2"/>
    <w:rsid w:val="0CCD3816"/>
    <w:rsid w:val="0CD6428A"/>
    <w:rsid w:val="0CDB78EA"/>
    <w:rsid w:val="0CEB2253"/>
    <w:rsid w:val="0CED6533"/>
    <w:rsid w:val="0CEE552F"/>
    <w:rsid w:val="0CEF3C99"/>
    <w:rsid w:val="0CF66DF3"/>
    <w:rsid w:val="0CF97FF1"/>
    <w:rsid w:val="0D0035A1"/>
    <w:rsid w:val="0D086E9D"/>
    <w:rsid w:val="0D0B451D"/>
    <w:rsid w:val="0D0C0A77"/>
    <w:rsid w:val="0D0E5F43"/>
    <w:rsid w:val="0D187F8C"/>
    <w:rsid w:val="0D1A5ED7"/>
    <w:rsid w:val="0D2371D3"/>
    <w:rsid w:val="0D2B4677"/>
    <w:rsid w:val="0D3049DD"/>
    <w:rsid w:val="0D356B6A"/>
    <w:rsid w:val="0D3B3625"/>
    <w:rsid w:val="0D4627DE"/>
    <w:rsid w:val="0D4A1699"/>
    <w:rsid w:val="0D4C2EED"/>
    <w:rsid w:val="0D5D797E"/>
    <w:rsid w:val="0D651D56"/>
    <w:rsid w:val="0D7B30E8"/>
    <w:rsid w:val="0D7B60C1"/>
    <w:rsid w:val="0D9E2DA9"/>
    <w:rsid w:val="0D9F0C41"/>
    <w:rsid w:val="0DA47EFB"/>
    <w:rsid w:val="0DB01E74"/>
    <w:rsid w:val="0DBB5C17"/>
    <w:rsid w:val="0DC424D2"/>
    <w:rsid w:val="0DCC0A37"/>
    <w:rsid w:val="0DE54EFD"/>
    <w:rsid w:val="0DFE13E7"/>
    <w:rsid w:val="0E00780C"/>
    <w:rsid w:val="0E044B4C"/>
    <w:rsid w:val="0E0E71D6"/>
    <w:rsid w:val="0E1B56F3"/>
    <w:rsid w:val="0E28166F"/>
    <w:rsid w:val="0E295EE2"/>
    <w:rsid w:val="0E2C5939"/>
    <w:rsid w:val="0E3D1DC0"/>
    <w:rsid w:val="0E40083F"/>
    <w:rsid w:val="0E4437DC"/>
    <w:rsid w:val="0E476917"/>
    <w:rsid w:val="0E5003C7"/>
    <w:rsid w:val="0E5508FA"/>
    <w:rsid w:val="0E611F63"/>
    <w:rsid w:val="0E672299"/>
    <w:rsid w:val="0E6D45AA"/>
    <w:rsid w:val="0E71282F"/>
    <w:rsid w:val="0E792237"/>
    <w:rsid w:val="0E7D6E8E"/>
    <w:rsid w:val="0E8642D6"/>
    <w:rsid w:val="0E8B1CB0"/>
    <w:rsid w:val="0EA03047"/>
    <w:rsid w:val="0EA373CA"/>
    <w:rsid w:val="0EAD633F"/>
    <w:rsid w:val="0EB14A42"/>
    <w:rsid w:val="0EC7470F"/>
    <w:rsid w:val="0EC91BC8"/>
    <w:rsid w:val="0EC93616"/>
    <w:rsid w:val="0ECE5B60"/>
    <w:rsid w:val="0EEA2A59"/>
    <w:rsid w:val="0EED54C9"/>
    <w:rsid w:val="0EFD38E7"/>
    <w:rsid w:val="0EFE3A3A"/>
    <w:rsid w:val="0F035FAB"/>
    <w:rsid w:val="0F165008"/>
    <w:rsid w:val="0F181FF2"/>
    <w:rsid w:val="0F1A03A5"/>
    <w:rsid w:val="0F283856"/>
    <w:rsid w:val="0F2F63D1"/>
    <w:rsid w:val="0F367070"/>
    <w:rsid w:val="0F412C74"/>
    <w:rsid w:val="0F455201"/>
    <w:rsid w:val="0F533BD1"/>
    <w:rsid w:val="0F5A3596"/>
    <w:rsid w:val="0F622558"/>
    <w:rsid w:val="0F6279B8"/>
    <w:rsid w:val="0F645EB3"/>
    <w:rsid w:val="0F702EC2"/>
    <w:rsid w:val="0F777839"/>
    <w:rsid w:val="0F7B1F06"/>
    <w:rsid w:val="0F8259C7"/>
    <w:rsid w:val="0F8D1302"/>
    <w:rsid w:val="0F8D5A41"/>
    <w:rsid w:val="0F8F2138"/>
    <w:rsid w:val="0FA740B0"/>
    <w:rsid w:val="0FA81836"/>
    <w:rsid w:val="0FB91A7E"/>
    <w:rsid w:val="0FC02E7A"/>
    <w:rsid w:val="0FCB2B5E"/>
    <w:rsid w:val="0FDD75FB"/>
    <w:rsid w:val="0FF00FEF"/>
    <w:rsid w:val="0FF66983"/>
    <w:rsid w:val="0FF854AC"/>
    <w:rsid w:val="0FFE3F7F"/>
    <w:rsid w:val="10092764"/>
    <w:rsid w:val="102761FD"/>
    <w:rsid w:val="102C77D6"/>
    <w:rsid w:val="102D337E"/>
    <w:rsid w:val="104D5CE2"/>
    <w:rsid w:val="10502709"/>
    <w:rsid w:val="10551B72"/>
    <w:rsid w:val="10591416"/>
    <w:rsid w:val="105B0CC9"/>
    <w:rsid w:val="106776B1"/>
    <w:rsid w:val="10683A56"/>
    <w:rsid w:val="10746B75"/>
    <w:rsid w:val="10764ECF"/>
    <w:rsid w:val="10795C86"/>
    <w:rsid w:val="107A2A65"/>
    <w:rsid w:val="109F584D"/>
    <w:rsid w:val="10A20646"/>
    <w:rsid w:val="10C6520A"/>
    <w:rsid w:val="10C86C41"/>
    <w:rsid w:val="10CB0FD7"/>
    <w:rsid w:val="10CC1B1D"/>
    <w:rsid w:val="10D20FDB"/>
    <w:rsid w:val="10D63263"/>
    <w:rsid w:val="10DB09FF"/>
    <w:rsid w:val="10EC43B3"/>
    <w:rsid w:val="11041495"/>
    <w:rsid w:val="110449C6"/>
    <w:rsid w:val="11174781"/>
    <w:rsid w:val="112B2601"/>
    <w:rsid w:val="112B2D76"/>
    <w:rsid w:val="113A47DD"/>
    <w:rsid w:val="114633EE"/>
    <w:rsid w:val="114A0899"/>
    <w:rsid w:val="1154412E"/>
    <w:rsid w:val="11670EFE"/>
    <w:rsid w:val="11686F1A"/>
    <w:rsid w:val="11723798"/>
    <w:rsid w:val="117B0195"/>
    <w:rsid w:val="118B4F21"/>
    <w:rsid w:val="118C032A"/>
    <w:rsid w:val="118E1BBD"/>
    <w:rsid w:val="11A86A63"/>
    <w:rsid w:val="11AB375B"/>
    <w:rsid w:val="11AC3818"/>
    <w:rsid w:val="11AD5384"/>
    <w:rsid w:val="11B17A7E"/>
    <w:rsid w:val="11C756B3"/>
    <w:rsid w:val="11DD5E90"/>
    <w:rsid w:val="11E6163A"/>
    <w:rsid w:val="11F21DA6"/>
    <w:rsid w:val="121425A8"/>
    <w:rsid w:val="121A69C4"/>
    <w:rsid w:val="121D1E44"/>
    <w:rsid w:val="12231AD4"/>
    <w:rsid w:val="122342AC"/>
    <w:rsid w:val="122C3300"/>
    <w:rsid w:val="12377612"/>
    <w:rsid w:val="12392D6B"/>
    <w:rsid w:val="125A6762"/>
    <w:rsid w:val="125D6922"/>
    <w:rsid w:val="12715581"/>
    <w:rsid w:val="1274231E"/>
    <w:rsid w:val="127B371A"/>
    <w:rsid w:val="127E42B7"/>
    <w:rsid w:val="12856E24"/>
    <w:rsid w:val="12934342"/>
    <w:rsid w:val="12A23904"/>
    <w:rsid w:val="12B10DC8"/>
    <w:rsid w:val="12B329FE"/>
    <w:rsid w:val="12B65F3D"/>
    <w:rsid w:val="12BF487F"/>
    <w:rsid w:val="12C86253"/>
    <w:rsid w:val="12D61AB2"/>
    <w:rsid w:val="12DF478C"/>
    <w:rsid w:val="12E46D8F"/>
    <w:rsid w:val="131B5C59"/>
    <w:rsid w:val="13231409"/>
    <w:rsid w:val="132316CD"/>
    <w:rsid w:val="13473FCF"/>
    <w:rsid w:val="134959EA"/>
    <w:rsid w:val="134E5DC9"/>
    <w:rsid w:val="136A3402"/>
    <w:rsid w:val="13817464"/>
    <w:rsid w:val="138B0227"/>
    <w:rsid w:val="138E0B6A"/>
    <w:rsid w:val="1392243C"/>
    <w:rsid w:val="139C025F"/>
    <w:rsid w:val="139D7E37"/>
    <w:rsid w:val="13AB3E76"/>
    <w:rsid w:val="13AB5AA3"/>
    <w:rsid w:val="13C14094"/>
    <w:rsid w:val="13CC3A96"/>
    <w:rsid w:val="13CE2E89"/>
    <w:rsid w:val="13D84768"/>
    <w:rsid w:val="13F70763"/>
    <w:rsid w:val="13FA1560"/>
    <w:rsid w:val="14132978"/>
    <w:rsid w:val="14141BF1"/>
    <w:rsid w:val="141D0449"/>
    <w:rsid w:val="142B7FF6"/>
    <w:rsid w:val="14302969"/>
    <w:rsid w:val="143171F4"/>
    <w:rsid w:val="14327E28"/>
    <w:rsid w:val="143B7A42"/>
    <w:rsid w:val="143E6DD5"/>
    <w:rsid w:val="144006C9"/>
    <w:rsid w:val="14423959"/>
    <w:rsid w:val="1448652E"/>
    <w:rsid w:val="144B2116"/>
    <w:rsid w:val="144B4F3D"/>
    <w:rsid w:val="14521899"/>
    <w:rsid w:val="145F6636"/>
    <w:rsid w:val="14661971"/>
    <w:rsid w:val="146B7555"/>
    <w:rsid w:val="146F12E8"/>
    <w:rsid w:val="147561D7"/>
    <w:rsid w:val="148E4C26"/>
    <w:rsid w:val="14A211FE"/>
    <w:rsid w:val="14A2278E"/>
    <w:rsid w:val="14CA22E6"/>
    <w:rsid w:val="14DD320D"/>
    <w:rsid w:val="14F6236B"/>
    <w:rsid w:val="150E016B"/>
    <w:rsid w:val="152139F9"/>
    <w:rsid w:val="1532679D"/>
    <w:rsid w:val="15436986"/>
    <w:rsid w:val="154F35CF"/>
    <w:rsid w:val="15525D73"/>
    <w:rsid w:val="155832B5"/>
    <w:rsid w:val="15724FC8"/>
    <w:rsid w:val="15760167"/>
    <w:rsid w:val="157C2F5A"/>
    <w:rsid w:val="157D2081"/>
    <w:rsid w:val="1582448C"/>
    <w:rsid w:val="15877907"/>
    <w:rsid w:val="15A112E0"/>
    <w:rsid w:val="15A21B50"/>
    <w:rsid w:val="15A21D52"/>
    <w:rsid w:val="15A56891"/>
    <w:rsid w:val="15A75E23"/>
    <w:rsid w:val="15B579BF"/>
    <w:rsid w:val="15BD60B4"/>
    <w:rsid w:val="15C104B5"/>
    <w:rsid w:val="15C86FF3"/>
    <w:rsid w:val="15DD4A09"/>
    <w:rsid w:val="15E3373B"/>
    <w:rsid w:val="15E832E2"/>
    <w:rsid w:val="15ED7185"/>
    <w:rsid w:val="15FA5798"/>
    <w:rsid w:val="160B49D2"/>
    <w:rsid w:val="1614353D"/>
    <w:rsid w:val="161736AD"/>
    <w:rsid w:val="162044CB"/>
    <w:rsid w:val="1623303C"/>
    <w:rsid w:val="162437A1"/>
    <w:rsid w:val="162A6E0B"/>
    <w:rsid w:val="164A3B6F"/>
    <w:rsid w:val="1652628A"/>
    <w:rsid w:val="16646E47"/>
    <w:rsid w:val="16651A65"/>
    <w:rsid w:val="166E7D4B"/>
    <w:rsid w:val="167538DB"/>
    <w:rsid w:val="167966C6"/>
    <w:rsid w:val="167A5DE8"/>
    <w:rsid w:val="167B3147"/>
    <w:rsid w:val="1681516F"/>
    <w:rsid w:val="168D3A3C"/>
    <w:rsid w:val="16927579"/>
    <w:rsid w:val="169E5A83"/>
    <w:rsid w:val="16A41178"/>
    <w:rsid w:val="16AA2A56"/>
    <w:rsid w:val="16AF41AC"/>
    <w:rsid w:val="16B82DD7"/>
    <w:rsid w:val="16C9273D"/>
    <w:rsid w:val="16CB01C1"/>
    <w:rsid w:val="16D41F1B"/>
    <w:rsid w:val="16D51A0B"/>
    <w:rsid w:val="16D71238"/>
    <w:rsid w:val="16DE3415"/>
    <w:rsid w:val="16E3254E"/>
    <w:rsid w:val="16E525FC"/>
    <w:rsid w:val="16E63ECA"/>
    <w:rsid w:val="16E9575A"/>
    <w:rsid w:val="16F25627"/>
    <w:rsid w:val="17075CC8"/>
    <w:rsid w:val="17251518"/>
    <w:rsid w:val="17293660"/>
    <w:rsid w:val="173022CC"/>
    <w:rsid w:val="17320416"/>
    <w:rsid w:val="175F31CF"/>
    <w:rsid w:val="17640191"/>
    <w:rsid w:val="177137E5"/>
    <w:rsid w:val="177C72FE"/>
    <w:rsid w:val="17884DC2"/>
    <w:rsid w:val="178A674D"/>
    <w:rsid w:val="179F03B9"/>
    <w:rsid w:val="179F51E2"/>
    <w:rsid w:val="17A0123D"/>
    <w:rsid w:val="17A01FF0"/>
    <w:rsid w:val="17A41198"/>
    <w:rsid w:val="17A85512"/>
    <w:rsid w:val="17AB136C"/>
    <w:rsid w:val="17AB672B"/>
    <w:rsid w:val="17B15E69"/>
    <w:rsid w:val="17B212CD"/>
    <w:rsid w:val="17BC7A11"/>
    <w:rsid w:val="17EC43F9"/>
    <w:rsid w:val="17F037C6"/>
    <w:rsid w:val="17F55A72"/>
    <w:rsid w:val="17F60497"/>
    <w:rsid w:val="17FF5C42"/>
    <w:rsid w:val="18001E7E"/>
    <w:rsid w:val="180C5259"/>
    <w:rsid w:val="181075A9"/>
    <w:rsid w:val="181315E2"/>
    <w:rsid w:val="181F1244"/>
    <w:rsid w:val="1824748E"/>
    <w:rsid w:val="182B52BA"/>
    <w:rsid w:val="18477077"/>
    <w:rsid w:val="184C0316"/>
    <w:rsid w:val="184E18E8"/>
    <w:rsid w:val="185023CC"/>
    <w:rsid w:val="185656B2"/>
    <w:rsid w:val="186443F8"/>
    <w:rsid w:val="186D4D79"/>
    <w:rsid w:val="18714025"/>
    <w:rsid w:val="187448A4"/>
    <w:rsid w:val="187E6482"/>
    <w:rsid w:val="188237C5"/>
    <w:rsid w:val="188C5AC8"/>
    <w:rsid w:val="189A123C"/>
    <w:rsid w:val="18A70615"/>
    <w:rsid w:val="18AC385B"/>
    <w:rsid w:val="18B20C1E"/>
    <w:rsid w:val="18B257FC"/>
    <w:rsid w:val="18B4494B"/>
    <w:rsid w:val="18BD6550"/>
    <w:rsid w:val="18E956EE"/>
    <w:rsid w:val="18F00047"/>
    <w:rsid w:val="18F14901"/>
    <w:rsid w:val="18F31F89"/>
    <w:rsid w:val="18F36B89"/>
    <w:rsid w:val="18F84A8F"/>
    <w:rsid w:val="18F93317"/>
    <w:rsid w:val="190E55F2"/>
    <w:rsid w:val="190F4F8E"/>
    <w:rsid w:val="190F79B1"/>
    <w:rsid w:val="19113B8D"/>
    <w:rsid w:val="1918004F"/>
    <w:rsid w:val="191935FD"/>
    <w:rsid w:val="19225ED6"/>
    <w:rsid w:val="19365F10"/>
    <w:rsid w:val="19504C25"/>
    <w:rsid w:val="19541E2F"/>
    <w:rsid w:val="195C57AD"/>
    <w:rsid w:val="196E0840"/>
    <w:rsid w:val="196F05F3"/>
    <w:rsid w:val="197D46F6"/>
    <w:rsid w:val="19930349"/>
    <w:rsid w:val="199403CE"/>
    <w:rsid w:val="199763D7"/>
    <w:rsid w:val="19B36C16"/>
    <w:rsid w:val="19C27795"/>
    <w:rsid w:val="19DB55E2"/>
    <w:rsid w:val="19DF33A6"/>
    <w:rsid w:val="19E55363"/>
    <w:rsid w:val="19EA7AEF"/>
    <w:rsid w:val="19F3646B"/>
    <w:rsid w:val="19FA197B"/>
    <w:rsid w:val="19FE286E"/>
    <w:rsid w:val="1A00607F"/>
    <w:rsid w:val="1A0271F8"/>
    <w:rsid w:val="1A221880"/>
    <w:rsid w:val="1A2365A3"/>
    <w:rsid w:val="1A316CB7"/>
    <w:rsid w:val="1A3A1E23"/>
    <w:rsid w:val="1A3B7610"/>
    <w:rsid w:val="1A48236E"/>
    <w:rsid w:val="1A4D5CF3"/>
    <w:rsid w:val="1A537D2D"/>
    <w:rsid w:val="1A5C662C"/>
    <w:rsid w:val="1A66032E"/>
    <w:rsid w:val="1A6C2FF8"/>
    <w:rsid w:val="1A86516D"/>
    <w:rsid w:val="1A8D0DA3"/>
    <w:rsid w:val="1A967BDE"/>
    <w:rsid w:val="1A9E44E0"/>
    <w:rsid w:val="1AA714C7"/>
    <w:rsid w:val="1AAC28DA"/>
    <w:rsid w:val="1AB723A7"/>
    <w:rsid w:val="1AC51773"/>
    <w:rsid w:val="1AC62709"/>
    <w:rsid w:val="1AD80C1F"/>
    <w:rsid w:val="1ADE160E"/>
    <w:rsid w:val="1AE461BF"/>
    <w:rsid w:val="1AEC0F10"/>
    <w:rsid w:val="1AF074C8"/>
    <w:rsid w:val="1AF8638F"/>
    <w:rsid w:val="1B160A05"/>
    <w:rsid w:val="1B2703A3"/>
    <w:rsid w:val="1B2A1080"/>
    <w:rsid w:val="1B496A47"/>
    <w:rsid w:val="1B557EE2"/>
    <w:rsid w:val="1B5C3FA8"/>
    <w:rsid w:val="1B696AAE"/>
    <w:rsid w:val="1B6976B6"/>
    <w:rsid w:val="1B6C378E"/>
    <w:rsid w:val="1B701B42"/>
    <w:rsid w:val="1B7E63D5"/>
    <w:rsid w:val="1B7F757F"/>
    <w:rsid w:val="1B8221D1"/>
    <w:rsid w:val="1B917BE9"/>
    <w:rsid w:val="1B9473DE"/>
    <w:rsid w:val="1B9D524E"/>
    <w:rsid w:val="1BB75D2F"/>
    <w:rsid w:val="1BBB679D"/>
    <w:rsid w:val="1BC07E4F"/>
    <w:rsid w:val="1BD310F5"/>
    <w:rsid w:val="1BDE76BB"/>
    <w:rsid w:val="1BE02380"/>
    <w:rsid w:val="1BE1441A"/>
    <w:rsid w:val="1BE54401"/>
    <w:rsid w:val="1BEE5F0A"/>
    <w:rsid w:val="1BEF3EA2"/>
    <w:rsid w:val="1BEF6194"/>
    <w:rsid w:val="1C010941"/>
    <w:rsid w:val="1C022FF4"/>
    <w:rsid w:val="1C1A70ED"/>
    <w:rsid w:val="1C255E44"/>
    <w:rsid w:val="1C2760FA"/>
    <w:rsid w:val="1C290153"/>
    <w:rsid w:val="1C3749C5"/>
    <w:rsid w:val="1C4F4EE0"/>
    <w:rsid w:val="1C523CCE"/>
    <w:rsid w:val="1C606642"/>
    <w:rsid w:val="1C686227"/>
    <w:rsid w:val="1C6939AC"/>
    <w:rsid w:val="1C694B5A"/>
    <w:rsid w:val="1C6A590B"/>
    <w:rsid w:val="1C6D75C6"/>
    <w:rsid w:val="1C757510"/>
    <w:rsid w:val="1CB3547F"/>
    <w:rsid w:val="1CE238A4"/>
    <w:rsid w:val="1D0A0B72"/>
    <w:rsid w:val="1D1049FF"/>
    <w:rsid w:val="1D111071"/>
    <w:rsid w:val="1D116F6D"/>
    <w:rsid w:val="1D147D39"/>
    <w:rsid w:val="1D354B4F"/>
    <w:rsid w:val="1D372DB0"/>
    <w:rsid w:val="1D412B5F"/>
    <w:rsid w:val="1D4C725E"/>
    <w:rsid w:val="1D607871"/>
    <w:rsid w:val="1D6147DA"/>
    <w:rsid w:val="1D682ABF"/>
    <w:rsid w:val="1D787E53"/>
    <w:rsid w:val="1D8E5DD9"/>
    <w:rsid w:val="1D942E4C"/>
    <w:rsid w:val="1DF342BB"/>
    <w:rsid w:val="1E211DB6"/>
    <w:rsid w:val="1E2669E1"/>
    <w:rsid w:val="1E295E70"/>
    <w:rsid w:val="1E4522C5"/>
    <w:rsid w:val="1E5C10F7"/>
    <w:rsid w:val="1E617C18"/>
    <w:rsid w:val="1E68506B"/>
    <w:rsid w:val="1E770B73"/>
    <w:rsid w:val="1E7A6F52"/>
    <w:rsid w:val="1E8178B9"/>
    <w:rsid w:val="1EA44731"/>
    <w:rsid w:val="1EAF26BC"/>
    <w:rsid w:val="1EB5640C"/>
    <w:rsid w:val="1ED256EB"/>
    <w:rsid w:val="1EED699D"/>
    <w:rsid w:val="1EEF6361"/>
    <w:rsid w:val="1F0C1276"/>
    <w:rsid w:val="1F10520A"/>
    <w:rsid w:val="1F1A7055"/>
    <w:rsid w:val="1F36413D"/>
    <w:rsid w:val="1F3D4AF8"/>
    <w:rsid w:val="1F3E3960"/>
    <w:rsid w:val="1F3F080F"/>
    <w:rsid w:val="1F421A03"/>
    <w:rsid w:val="1F6A6881"/>
    <w:rsid w:val="1F6D42E2"/>
    <w:rsid w:val="1F7C002E"/>
    <w:rsid w:val="1F7D540C"/>
    <w:rsid w:val="1F7F7C09"/>
    <w:rsid w:val="1F802C07"/>
    <w:rsid w:val="1F852013"/>
    <w:rsid w:val="1F977535"/>
    <w:rsid w:val="1F991079"/>
    <w:rsid w:val="1F9C5E3B"/>
    <w:rsid w:val="1FA02343"/>
    <w:rsid w:val="1FA82389"/>
    <w:rsid w:val="1FAF48CD"/>
    <w:rsid w:val="1FC97D65"/>
    <w:rsid w:val="1FDF1C13"/>
    <w:rsid w:val="1FE01CFE"/>
    <w:rsid w:val="1FE10A65"/>
    <w:rsid w:val="1FE72A97"/>
    <w:rsid w:val="1FE966C7"/>
    <w:rsid w:val="1FF30EF9"/>
    <w:rsid w:val="1FF6297E"/>
    <w:rsid w:val="1FF94222"/>
    <w:rsid w:val="2017388D"/>
    <w:rsid w:val="20241E15"/>
    <w:rsid w:val="20342158"/>
    <w:rsid w:val="203746CC"/>
    <w:rsid w:val="20417EF4"/>
    <w:rsid w:val="20425CFB"/>
    <w:rsid w:val="204948C5"/>
    <w:rsid w:val="204F4CBF"/>
    <w:rsid w:val="20545D3E"/>
    <w:rsid w:val="205C6916"/>
    <w:rsid w:val="205D703E"/>
    <w:rsid w:val="206B1FCB"/>
    <w:rsid w:val="207E55F1"/>
    <w:rsid w:val="208240D6"/>
    <w:rsid w:val="20844AAB"/>
    <w:rsid w:val="20844E11"/>
    <w:rsid w:val="208B6D80"/>
    <w:rsid w:val="209E5FEA"/>
    <w:rsid w:val="20A136C8"/>
    <w:rsid w:val="20B0572B"/>
    <w:rsid w:val="20B44DC6"/>
    <w:rsid w:val="20BE5CB9"/>
    <w:rsid w:val="20C22356"/>
    <w:rsid w:val="20C26EF9"/>
    <w:rsid w:val="20D93676"/>
    <w:rsid w:val="20EB1EC7"/>
    <w:rsid w:val="20EE76E4"/>
    <w:rsid w:val="20F5339B"/>
    <w:rsid w:val="21023680"/>
    <w:rsid w:val="210B692B"/>
    <w:rsid w:val="210C2EA2"/>
    <w:rsid w:val="212051A5"/>
    <w:rsid w:val="21212B24"/>
    <w:rsid w:val="21313EC1"/>
    <w:rsid w:val="2134727E"/>
    <w:rsid w:val="2135691D"/>
    <w:rsid w:val="214B211E"/>
    <w:rsid w:val="2153356F"/>
    <w:rsid w:val="215B66A7"/>
    <w:rsid w:val="21630873"/>
    <w:rsid w:val="216B2449"/>
    <w:rsid w:val="216D2013"/>
    <w:rsid w:val="21725E1B"/>
    <w:rsid w:val="21761CE0"/>
    <w:rsid w:val="21795A15"/>
    <w:rsid w:val="218E5977"/>
    <w:rsid w:val="21A47EFF"/>
    <w:rsid w:val="21A74CF5"/>
    <w:rsid w:val="21A97889"/>
    <w:rsid w:val="21B97535"/>
    <w:rsid w:val="21BA2CBA"/>
    <w:rsid w:val="21C3176E"/>
    <w:rsid w:val="21CE12C2"/>
    <w:rsid w:val="21CE5E2F"/>
    <w:rsid w:val="21D34AE5"/>
    <w:rsid w:val="21D7542D"/>
    <w:rsid w:val="21D90703"/>
    <w:rsid w:val="21DE49CA"/>
    <w:rsid w:val="21E85BD1"/>
    <w:rsid w:val="21E90C3A"/>
    <w:rsid w:val="21ED108F"/>
    <w:rsid w:val="21EE2F43"/>
    <w:rsid w:val="21F06C5B"/>
    <w:rsid w:val="21F52207"/>
    <w:rsid w:val="21F57E30"/>
    <w:rsid w:val="21FC3822"/>
    <w:rsid w:val="21FD5982"/>
    <w:rsid w:val="220B5C2B"/>
    <w:rsid w:val="221149CE"/>
    <w:rsid w:val="222026D1"/>
    <w:rsid w:val="2231098C"/>
    <w:rsid w:val="22443E8E"/>
    <w:rsid w:val="22466869"/>
    <w:rsid w:val="224C75B5"/>
    <w:rsid w:val="22517DAB"/>
    <w:rsid w:val="22572755"/>
    <w:rsid w:val="22666F39"/>
    <w:rsid w:val="229B1A55"/>
    <w:rsid w:val="22A408CC"/>
    <w:rsid w:val="22C17811"/>
    <w:rsid w:val="22C949F8"/>
    <w:rsid w:val="22D91BEC"/>
    <w:rsid w:val="22DE0964"/>
    <w:rsid w:val="22F12D6F"/>
    <w:rsid w:val="22FB00BC"/>
    <w:rsid w:val="23054DF3"/>
    <w:rsid w:val="230755DD"/>
    <w:rsid w:val="23094E31"/>
    <w:rsid w:val="23111907"/>
    <w:rsid w:val="231F57A4"/>
    <w:rsid w:val="232542C0"/>
    <w:rsid w:val="232F25A0"/>
    <w:rsid w:val="23347AEA"/>
    <w:rsid w:val="234360C1"/>
    <w:rsid w:val="23477399"/>
    <w:rsid w:val="234D625F"/>
    <w:rsid w:val="234E0FC7"/>
    <w:rsid w:val="23510870"/>
    <w:rsid w:val="2353487A"/>
    <w:rsid w:val="235F14AB"/>
    <w:rsid w:val="2365627C"/>
    <w:rsid w:val="23684C3B"/>
    <w:rsid w:val="237576C2"/>
    <w:rsid w:val="23816815"/>
    <w:rsid w:val="238F13EB"/>
    <w:rsid w:val="23904681"/>
    <w:rsid w:val="239349D6"/>
    <w:rsid w:val="239853C6"/>
    <w:rsid w:val="239A5B55"/>
    <w:rsid w:val="23A76261"/>
    <w:rsid w:val="23A948E5"/>
    <w:rsid w:val="23B72DF5"/>
    <w:rsid w:val="23BD17CA"/>
    <w:rsid w:val="23BD1ED5"/>
    <w:rsid w:val="23CA2678"/>
    <w:rsid w:val="23CA5835"/>
    <w:rsid w:val="23DF02E4"/>
    <w:rsid w:val="23F26A91"/>
    <w:rsid w:val="23F7480C"/>
    <w:rsid w:val="24087C82"/>
    <w:rsid w:val="240C6039"/>
    <w:rsid w:val="2411718B"/>
    <w:rsid w:val="241A75D4"/>
    <w:rsid w:val="241E1510"/>
    <w:rsid w:val="242218BF"/>
    <w:rsid w:val="242817C7"/>
    <w:rsid w:val="242A5EBC"/>
    <w:rsid w:val="242F0F78"/>
    <w:rsid w:val="243C2790"/>
    <w:rsid w:val="24431A3B"/>
    <w:rsid w:val="24481C63"/>
    <w:rsid w:val="24566BEB"/>
    <w:rsid w:val="24587DDB"/>
    <w:rsid w:val="24836153"/>
    <w:rsid w:val="24875765"/>
    <w:rsid w:val="2490385C"/>
    <w:rsid w:val="24984093"/>
    <w:rsid w:val="249A3236"/>
    <w:rsid w:val="249C2EAA"/>
    <w:rsid w:val="249F50A2"/>
    <w:rsid w:val="24A81567"/>
    <w:rsid w:val="24AB6F8F"/>
    <w:rsid w:val="24B165CA"/>
    <w:rsid w:val="24B3419C"/>
    <w:rsid w:val="24E17383"/>
    <w:rsid w:val="24EF4476"/>
    <w:rsid w:val="24F733F2"/>
    <w:rsid w:val="24FF2C75"/>
    <w:rsid w:val="25107DD2"/>
    <w:rsid w:val="251C1049"/>
    <w:rsid w:val="25250527"/>
    <w:rsid w:val="252954FA"/>
    <w:rsid w:val="252C5F62"/>
    <w:rsid w:val="25343829"/>
    <w:rsid w:val="25393F02"/>
    <w:rsid w:val="254316B5"/>
    <w:rsid w:val="254844C9"/>
    <w:rsid w:val="254E23BA"/>
    <w:rsid w:val="25793E23"/>
    <w:rsid w:val="257F6535"/>
    <w:rsid w:val="25867B76"/>
    <w:rsid w:val="25885BFF"/>
    <w:rsid w:val="2596157E"/>
    <w:rsid w:val="2599226B"/>
    <w:rsid w:val="25A53207"/>
    <w:rsid w:val="25C12B50"/>
    <w:rsid w:val="25CD2F13"/>
    <w:rsid w:val="25CF281B"/>
    <w:rsid w:val="25D016BD"/>
    <w:rsid w:val="25D14525"/>
    <w:rsid w:val="25D61AF1"/>
    <w:rsid w:val="25EA701E"/>
    <w:rsid w:val="25EF4FAC"/>
    <w:rsid w:val="25F72E3E"/>
    <w:rsid w:val="25FB2218"/>
    <w:rsid w:val="25FC0D6B"/>
    <w:rsid w:val="2618179B"/>
    <w:rsid w:val="26195FE5"/>
    <w:rsid w:val="262A397A"/>
    <w:rsid w:val="263512C6"/>
    <w:rsid w:val="2643482D"/>
    <w:rsid w:val="265562BB"/>
    <w:rsid w:val="26620E2F"/>
    <w:rsid w:val="26685320"/>
    <w:rsid w:val="266C3ACD"/>
    <w:rsid w:val="268411CE"/>
    <w:rsid w:val="26925D1D"/>
    <w:rsid w:val="26A95C3B"/>
    <w:rsid w:val="26BF1A48"/>
    <w:rsid w:val="26DF4F0A"/>
    <w:rsid w:val="26F15E2F"/>
    <w:rsid w:val="26F207A7"/>
    <w:rsid w:val="27026582"/>
    <w:rsid w:val="2704764B"/>
    <w:rsid w:val="270E79B1"/>
    <w:rsid w:val="27135907"/>
    <w:rsid w:val="27156A13"/>
    <w:rsid w:val="272F03A4"/>
    <w:rsid w:val="27331B55"/>
    <w:rsid w:val="27374BC3"/>
    <w:rsid w:val="27422AAC"/>
    <w:rsid w:val="27506042"/>
    <w:rsid w:val="27557F97"/>
    <w:rsid w:val="276210EB"/>
    <w:rsid w:val="27675194"/>
    <w:rsid w:val="276A4393"/>
    <w:rsid w:val="276B5ADA"/>
    <w:rsid w:val="276E2D55"/>
    <w:rsid w:val="278C6ED7"/>
    <w:rsid w:val="279531E2"/>
    <w:rsid w:val="27B66D7A"/>
    <w:rsid w:val="27B84BB9"/>
    <w:rsid w:val="27C12894"/>
    <w:rsid w:val="27D23C3C"/>
    <w:rsid w:val="27D92213"/>
    <w:rsid w:val="27DA06C1"/>
    <w:rsid w:val="27DB1953"/>
    <w:rsid w:val="27DC6B90"/>
    <w:rsid w:val="27E62E5F"/>
    <w:rsid w:val="27E92E53"/>
    <w:rsid w:val="27EB411E"/>
    <w:rsid w:val="27F136FF"/>
    <w:rsid w:val="27F33496"/>
    <w:rsid w:val="27F36898"/>
    <w:rsid w:val="27FF3FF1"/>
    <w:rsid w:val="28330AD1"/>
    <w:rsid w:val="28343701"/>
    <w:rsid w:val="284741F7"/>
    <w:rsid w:val="28482154"/>
    <w:rsid w:val="28660F4D"/>
    <w:rsid w:val="28691DB3"/>
    <w:rsid w:val="286A7042"/>
    <w:rsid w:val="287474F6"/>
    <w:rsid w:val="28950F1C"/>
    <w:rsid w:val="289B50E6"/>
    <w:rsid w:val="28A07DE2"/>
    <w:rsid w:val="28AB7CD2"/>
    <w:rsid w:val="28AC456C"/>
    <w:rsid w:val="28B32EAE"/>
    <w:rsid w:val="28D433BD"/>
    <w:rsid w:val="28DD4989"/>
    <w:rsid w:val="28E07E49"/>
    <w:rsid w:val="28E110A6"/>
    <w:rsid w:val="28F87C17"/>
    <w:rsid w:val="28FC6312"/>
    <w:rsid w:val="2913023A"/>
    <w:rsid w:val="29151943"/>
    <w:rsid w:val="2916795A"/>
    <w:rsid w:val="29211F26"/>
    <w:rsid w:val="292436E3"/>
    <w:rsid w:val="29261A81"/>
    <w:rsid w:val="292E2251"/>
    <w:rsid w:val="29403E7F"/>
    <w:rsid w:val="29680C23"/>
    <w:rsid w:val="29760611"/>
    <w:rsid w:val="29770222"/>
    <w:rsid w:val="297B398C"/>
    <w:rsid w:val="299D3B3E"/>
    <w:rsid w:val="29A272D6"/>
    <w:rsid w:val="29AD028E"/>
    <w:rsid w:val="29BE017F"/>
    <w:rsid w:val="29C13AD4"/>
    <w:rsid w:val="29C42BE9"/>
    <w:rsid w:val="29CC236E"/>
    <w:rsid w:val="29D228B9"/>
    <w:rsid w:val="29DF378B"/>
    <w:rsid w:val="29E52689"/>
    <w:rsid w:val="29E86AF6"/>
    <w:rsid w:val="29F27DFC"/>
    <w:rsid w:val="29F52514"/>
    <w:rsid w:val="29F574D6"/>
    <w:rsid w:val="29F83844"/>
    <w:rsid w:val="2A1207F5"/>
    <w:rsid w:val="2A21651D"/>
    <w:rsid w:val="2A243838"/>
    <w:rsid w:val="2A2D061E"/>
    <w:rsid w:val="2A471A1A"/>
    <w:rsid w:val="2A4F493D"/>
    <w:rsid w:val="2A592742"/>
    <w:rsid w:val="2A5A4932"/>
    <w:rsid w:val="2A5D55B5"/>
    <w:rsid w:val="2A5F28BD"/>
    <w:rsid w:val="2A635C23"/>
    <w:rsid w:val="2A7A02AF"/>
    <w:rsid w:val="2A7A7ED2"/>
    <w:rsid w:val="2A8A6CE6"/>
    <w:rsid w:val="2A9105A8"/>
    <w:rsid w:val="2A9371F9"/>
    <w:rsid w:val="2A995E94"/>
    <w:rsid w:val="2AA76B04"/>
    <w:rsid w:val="2AAB5E76"/>
    <w:rsid w:val="2AAF36B0"/>
    <w:rsid w:val="2ABC7C68"/>
    <w:rsid w:val="2ABE5CE7"/>
    <w:rsid w:val="2AC42124"/>
    <w:rsid w:val="2ACF101A"/>
    <w:rsid w:val="2ADD45D2"/>
    <w:rsid w:val="2AEA3221"/>
    <w:rsid w:val="2AEB18F5"/>
    <w:rsid w:val="2AEF03C9"/>
    <w:rsid w:val="2AF56F60"/>
    <w:rsid w:val="2AFC3FD7"/>
    <w:rsid w:val="2AFE0E0C"/>
    <w:rsid w:val="2B0B7F7C"/>
    <w:rsid w:val="2B1A5CD5"/>
    <w:rsid w:val="2B1A776F"/>
    <w:rsid w:val="2B487FFF"/>
    <w:rsid w:val="2B4D21AA"/>
    <w:rsid w:val="2B58407E"/>
    <w:rsid w:val="2B727DB8"/>
    <w:rsid w:val="2B767E57"/>
    <w:rsid w:val="2B7A44C9"/>
    <w:rsid w:val="2B7D2144"/>
    <w:rsid w:val="2B832549"/>
    <w:rsid w:val="2B872954"/>
    <w:rsid w:val="2B872C6D"/>
    <w:rsid w:val="2B9A0687"/>
    <w:rsid w:val="2BA81A3E"/>
    <w:rsid w:val="2BBD1DEF"/>
    <w:rsid w:val="2BC76612"/>
    <w:rsid w:val="2BC87889"/>
    <w:rsid w:val="2BCC0862"/>
    <w:rsid w:val="2BD13216"/>
    <w:rsid w:val="2BE5624C"/>
    <w:rsid w:val="2BE76C10"/>
    <w:rsid w:val="2BEB78D3"/>
    <w:rsid w:val="2BF511ED"/>
    <w:rsid w:val="2C0842B7"/>
    <w:rsid w:val="2C0A674E"/>
    <w:rsid w:val="2C0F0921"/>
    <w:rsid w:val="2C1C1757"/>
    <w:rsid w:val="2C2662AB"/>
    <w:rsid w:val="2C336C8F"/>
    <w:rsid w:val="2C3F11D1"/>
    <w:rsid w:val="2C402EB6"/>
    <w:rsid w:val="2C402F54"/>
    <w:rsid w:val="2C5064D6"/>
    <w:rsid w:val="2C5371AF"/>
    <w:rsid w:val="2C561474"/>
    <w:rsid w:val="2C5B625B"/>
    <w:rsid w:val="2C5C50B5"/>
    <w:rsid w:val="2C600353"/>
    <w:rsid w:val="2C681845"/>
    <w:rsid w:val="2C7077D1"/>
    <w:rsid w:val="2C734726"/>
    <w:rsid w:val="2C800835"/>
    <w:rsid w:val="2C8C7569"/>
    <w:rsid w:val="2C98540B"/>
    <w:rsid w:val="2CA750E4"/>
    <w:rsid w:val="2CAB6698"/>
    <w:rsid w:val="2CBC3D33"/>
    <w:rsid w:val="2CCA6DE0"/>
    <w:rsid w:val="2CD90EF6"/>
    <w:rsid w:val="2CDC2A04"/>
    <w:rsid w:val="2CE11091"/>
    <w:rsid w:val="2CF70747"/>
    <w:rsid w:val="2D040A28"/>
    <w:rsid w:val="2D0D064A"/>
    <w:rsid w:val="2D10167A"/>
    <w:rsid w:val="2D13592D"/>
    <w:rsid w:val="2D2972A5"/>
    <w:rsid w:val="2D2D6975"/>
    <w:rsid w:val="2D353A54"/>
    <w:rsid w:val="2D4C77C5"/>
    <w:rsid w:val="2D545D8C"/>
    <w:rsid w:val="2D5A5616"/>
    <w:rsid w:val="2D64200D"/>
    <w:rsid w:val="2D6A78B0"/>
    <w:rsid w:val="2D6C55A3"/>
    <w:rsid w:val="2D8138B5"/>
    <w:rsid w:val="2D82564F"/>
    <w:rsid w:val="2D940B14"/>
    <w:rsid w:val="2D981B3F"/>
    <w:rsid w:val="2D98600E"/>
    <w:rsid w:val="2D9B0ED4"/>
    <w:rsid w:val="2DA25D03"/>
    <w:rsid w:val="2DA45151"/>
    <w:rsid w:val="2DAC313B"/>
    <w:rsid w:val="2DB0409E"/>
    <w:rsid w:val="2DCE2518"/>
    <w:rsid w:val="2DD3348B"/>
    <w:rsid w:val="2DD7688D"/>
    <w:rsid w:val="2DDC4752"/>
    <w:rsid w:val="2DEB5C5B"/>
    <w:rsid w:val="2DF465B8"/>
    <w:rsid w:val="2DF60F72"/>
    <w:rsid w:val="2DFB04F0"/>
    <w:rsid w:val="2DFD54E5"/>
    <w:rsid w:val="2E196AFC"/>
    <w:rsid w:val="2E291070"/>
    <w:rsid w:val="2E2C5800"/>
    <w:rsid w:val="2E304C8B"/>
    <w:rsid w:val="2E37026C"/>
    <w:rsid w:val="2E595C5E"/>
    <w:rsid w:val="2E6635D1"/>
    <w:rsid w:val="2E6671AB"/>
    <w:rsid w:val="2E802D02"/>
    <w:rsid w:val="2E8533E2"/>
    <w:rsid w:val="2E97223C"/>
    <w:rsid w:val="2E9C00FA"/>
    <w:rsid w:val="2E9D2BBC"/>
    <w:rsid w:val="2EB57959"/>
    <w:rsid w:val="2EC365E5"/>
    <w:rsid w:val="2EC42F29"/>
    <w:rsid w:val="2ED24192"/>
    <w:rsid w:val="2EEF652A"/>
    <w:rsid w:val="2EF36B27"/>
    <w:rsid w:val="2F02776C"/>
    <w:rsid w:val="2F113990"/>
    <w:rsid w:val="2F272303"/>
    <w:rsid w:val="2F2D54EB"/>
    <w:rsid w:val="2F332CD5"/>
    <w:rsid w:val="2F3B1EA2"/>
    <w:rsid w:val="2F43798E"/>
    <w:rsid w:val="2F5110D5"/>
    <w:rsid w:val="2F522240"/>
    <w:rsid w:val="2F533D7C"/>
    <w:rsid w:val="2F540F65"/>
    <w:rsid w:val="2F56140D"/>
    <w:rsid w:val="2F571AE0"/>
    <w:rsid w:val="2F597694"/>
    <w:rsid w:val="2F620A4D"/>
    <w:rsid w:val="2F644492"/>
    <w:rsid w:val="2F723377"/>
    <w:rsid w:val="2F7A5B81"/>
    <w:rsid w:val="2F7C2E9B"/>
    <w:rsid w:val="2F951482"/>
    <w:rsid w:val="2F9950D2"/>
    <w:rsid w:val="2FB35F0B"/>
    <w:rsid w:val="2FB67FDD"/>
    <w:rsid w:val="2FD526EF"/>
    <w:rsid w:val="2FD568B8"/>
    <w:rsid w:val="2FDB2357"/>
    <w:rsid w:val="2FDC1149"/>
    <w:rsid w:val="2FF120DF"/>
    <w:rsid w:val="2FF75228"/>
    <w:rsid w:val="2FFE067D"/>
    <w:rsid w:val="30062122"/>
    <w:rsid w:val="302E0F25"/>
    <w:rsid w:val="30300A2A"/>
    <w:rsid w:val="30305599"/>
    <w:rsid w:val="303A2FE0"/>
    <w:rsid w:val="303C3FEC"/>
    <w:rsid w:val="30414DE0"/>
    <w:rsid w:val="3042759D"/>
    <w:rsid w:val="30515BC2"/>
    <w:rsid w:val="30577C7D"/>
    <w:rsid w:val="306872E8"/>
    <w:rsid w:val="306F2DE7"/>
    <w:rsid w:val="307271E4"/>
    <w:rsid w:val="30811F93"/>
    <w:rsid w:val="30A32BF2"/>
    <w:rsid w:val="30A74924"/>
    <w:rsid w:val="30C17EB8"/>
    <w:rsid w:val="30C801B4"/>
    <w:rsid w:val="30CA7AB9"/>
    <w:rsid w:val="30D50D2E"/>
    <w:rsid w:val="30F14C80"/>
    <w:rsid w:val="30FE20B6"/>
    <w:rsid w:val="31081DC8"/>
    <w:rsid w:val="312029D5"/>
    <w:rsid w:val="31215055"/>
    <w:rsid w:val="31236832"/>
    <w:rsid w:val="31282720"/>
    <w:rsid w:val="312D7C9F"/>
    <w:rsid w:val="313F0F69"/>
    <w:rsid w:val="31521D7A"/>
    <w:rsid w:val="316364B5"/>
    <w:rsid w:val="316A183C"/>
    <w:rsid w:val="316E718F"/>
    <w:rsid w:val="31752DC7"/>
    <w:rsid w:val="317B5A53"/>
    <w:rsid w:val="317C2231"/>
    <w:rsid w:val="31885FEA"/>
    <w:rsid w:val="319403E2"/>
    <w:rsid w:val="31984A33"/>
    <w:rsid w:val="31AD562E"/>
    <w:rsid w:val="31C9070A"/>
    <w:rsid w:val="31CB3B3D"/>
    <w:rsid w:val="31D41D71"/>
    <w:rsid w:val="31F02130"/>
    <w:rsid w:val="31FC517A"/>
    <w:rsid w:val="31FD1B8F"/>
    <w:rsid w:val="31FE125B"/>
    <w:rsid w:val="32056907"/>
    <w:rsid w:val="32155BBE"/>
    <w:rsid w:val="322051AA"/>
    <w:rsid w:val="32431BBB"/>
    <w:rsid w:val="325141ED"/>
    <w:rsid w:val="32603A23"/>
    <w:rsid w:val="32605E31"/>
    <w:rsid w:val="32611721"/>
    <w:rsid w:val="32657B48"/>
    <w:rsid w:val="32716580"/>
    <w:rsid w:val="32723FF8"/>
    <w:rsid w:val="32803592"/>
    <w:rsid w:val="32906989"/>
    <w:rsid w:val="329A4587"/>
    <w:rsid w:val="329C2259"/>
    <w:rsid w:val="329E02C9"/>
    <w:rsid w:val="32A221C5"/>
    <w:rsid w:val="32B04D13"/>
    <w:rsid w:val="32C11F21"/>
    <w:rsid w:val="32E87D58"/>
    <w:rsid w:val="32F5663F"/>
    <w:rsid w:val="32FB74A9"/>
    <w:rsid w:val="32FD1D30"/>
    <w:rsid w:val="32FD71EF"/>
    <w:rsid w:val="33000B4D"/>
    <w:rsid w:val="33092DC1"/>
    <w:rsid w:val="33481207"/>
    <w:rsid w:val="335A65FC"/>
    <w:rsid w:val="335F5116"/>
    <w:rsid w:val="33656AB0"/>
    <w:rsid w:val="336C6967"/>
    <w:rsid w:val="33777664"/>
    <w:rsid w:val="339B45B7"/>
    <w:rsid w:val="33B70791"/>
    <w:rsid w:val="33B93C2F"/>
    <w:rsid w:val="33BA4C92"/>
    <w:rsid w:val="33C12474"/>
    <w:rsid w:val="33CD5217"/>
    <w:rsid w:val="33D4734D"/>
    <w:rsid w:val="33E836E1"/>
    <w:rsid w:val="33F516D9"/>
    <w:rsid w:val="33FD6AF3"/>
    <w:rsid w:val="34076521"/>
    <w:rsid w:val="34127704"/>
    <w:rsid w:val="341578B4"/>
    <w:rsid w:val="341779DC"/>
    <w:rsid w:val="341A2984"/>
    <w:rsid w:val="342053F6"/>
    <w:rsid w:val="3423188F"/>
    <w:rsid w:val="342E780F"/>
    <w:rsid w:val="344C46A5"/>
    <w:rsid w:val="34515BA4"/>
    <w:rsid w:val="347408ED"/>
    <w:rsid w:val="34810B7D"/>
    <w:rsid w:val="34883086"/>
    <w:rsid w:val="34895526"/>
    <w:rsid w:val="349617A4"/>
    <w:rsid w:val="349A1789"/>
    <w:rsid w:val="34A04041"/>
    <w:rsid w:val="34B26DA1"/>
    <w:rsid w:val="34BA2CD8"/>
    <w:rsid w:val="34BE2C07"/>
    <w:rsid w:val="34BE3540"/>
    <w:rsid w:val="34BE5942"/>
    <w:rsid w:val="34C2526D"/>
    <w:rsid w:val="34C576A8"/>
    <w:rsid w:val="34CC58FD"/>
    <w:rsid w:val="34F42A1C"/>
    <w:rsid w:val="34F73F27"/>
    <w:rsid w:val="350C682F"/>
    <w:rsid w:val="35180151"/>
    <w:rsid w:val="35194631"/>
    <w:rsid w:val="35207987"/>
    <w:rsid w:val="352C06BA"/>
    <w:rsid w:val="353D102C"/>
    <w:rsid w:val="354028E8"/>
    <w:rsid w:val="354F21CD"/>
    <w:rsid w:val="355C5F73"/>
    <w:rsid w:val="35675B53"/>
    <w:rsid w:val="35695EFF"/>
    <w:rsid w:val="356B1FF7"/>
    <w:rsid w:val="35715F5A"/>
    <w:rsid w:val="35892120"/>
    <w:rsid w:val="3597713B"/>
    <w:rsid w:val="359D010E"/>
    <w:rsid w:val="35A35000"/>
    <w:rsid w:val="35AD2639"/>
    <w:rsid w:val="35AD53FD"/>
    <w:rsid w:val="35BC70FA"/>
    <w:rsid w:val="35C0213E"/>
    <w:rsid w:val="35C0311E"/>
    <w:rsid w:val="35C6239E"/>
    <w:rsid w:val="35D127CD"/>
    <w:rsid w:val="35D65912"/>
    <w:rsid w:val="35D93585"/>
    <w:rsid w:val="35F9160F"/>
    <w:rsid w:val="35F96887"/>
    <w:rsid w:val="360D3814"/>
    <w:rsid w:val="36107E3B"/>
    <w:rsid w:val="36166BC3"/>
    <w:rsid w:val="362706D2"/>
    <w:rsid w:val="362C725E"/>
    <w:rsid w:val="36332EBF"/>
    <w:rsid w:val="36357DC5"/>
    <w:rsid w:val="363C75B3"/>
    <w:rsid w:val="36426D18"/>
    <w:rsid w:val="3646765D"/>
    <w:rsid w:val="364769A9"/>
    <w:rsid w:val="3652136C"/>
    <w:rsid w:val="36530F88"/>
    <w:rsid w:val="365B23B3"/>
    <w:rsid w:val="366D3C0F"/>
    <w:rsid w:val="366F50C2"/>
    <w:rsid w:val="367019AC"/>
    <w:rsid w:val="36927AAF"/>
    <w:rsid w:val="369A592D"/>
    <w:rsid w:val="369C0289"/>
    <w:rsid w:val="369D1E6F"/>
    <w:rsid w:val="36A054F8"/>
    <w:rsid w:val="36AD4084"/>
    <w:rsid w:val="36BF3D55"/>
    <w:rsid w:val="36BF565A"/>
    <w:rsid w:val="36C24762"/>
    <w:rsid w:val="36C403EC"/>
    <w:rsid w:val="36C42929"/>
    <w:rsid w:val="36DF7CB1"/>
    <w:rsid w:val="36F8234D"/>
    <w:rsid w:val="36FE5DE8"/>
    <w:rsid w:val="37047C1E"/>
    <w:rsid w:val="37075D31"/>
    <w:rsid w:val="37102942"/>
    <w:rsid w:val="371448F3"/>
    <w:rsid w:val="371D59A6"/>
    <w:rsid w:val="371E0226"/>
    <w:rsid w:val="371F0F01"/>
    <w:rsid w:val="372E5FF4"/>
    <w:rsid w:val="3733204A"/>
    <w:rsid w:val="374108E6"/>
    <w:rsid w:val="37421881"/>
    <w:rsid w:val="37492C0F"/>
    <w:rsid w:val="374C4596"/>
    <w:rsid w:val="375D0BE8"/>
    <w:rsid w:val="37736A49"/>
    <w:rsid w:val="377968ED"/>
    <w:rsid w:val="37870656"/>
    <w:rsid w:val="378B0A21"/>
    <w:rsid w:val="37A209F4"/>
    <w:rsid w:val="37B41933"/>
    <w:rsid w:val="37B6248E"/>
    <w:rsid w:val="37C17AAF"/>
    <w:rsid w:val="37D3240B"/>
    <w:rsid w:val="37E03B83"/>
    <w:rsid w:val="37E90F33"/>
    <w:rsid w:val="380228E4"/>
    <w:rsid w:val="380745A6"/>
    <w:rsid w:val="380879AF"/>
    <w:rsid w:val="381803A0"/>
    <w:rsid w:val="38291991"/>
    <w:rsid w:val="383C2558"/>
    <w:rsid w:val="384131CE"/>
    <w:rsid w:val="3841758F"/>
    <w:rsid w:val="384B5DFC"/>
    <w:rsid w:val="38500056"/>
    <w:rsid w:val="385A6753"/>
    <w:rsid w:val="38693D8C"/>
    <w:rsid w:val="386D0DAC"/>
    <w:rsid w:val="387C5560"/>
    <w:rsid w:val="387E26AE"/>
    <w:rsid w:val="387F086E"/>
    <w:rsid w:val="38843E38"/>
    <w:rsid w:val="388B64B5"/>
    <w:rsid w:val="388E66F1"/>
    <w:rsid w:val="389560D8"/>
    <w:rsid w:val="38A74091"/>
    <w:rsid w:val="38B15063"/>
    <w:rsid w:val="38BD6BC9"/>
    <w:rsid w:val="38CA15F9"/>
    <w:rsid w:val="38CB5DAC"/>
    <w:rsid w:val="38E04157"/>
    <w:rsid w:val="38E23D01"/>
    <w:rsid w:val="38F026E0"/>
    <w:rsid w:val="38F90D57"/>
    <w:rsid w:val="39092E8E"/>
    <w:rsid w:val="390A63CE"/>
    <w:rsid w:val="39132C03"/>
    <w:rsid w:val="39153BE4"/>
    <w:rsid w:val="39316051"/>
    <w:rsid w:val="39387FD4"/>
    <w:rsid w:val="39450C11"/>
    <w:rsid w:val="39512C06"/>
    <w:rsid w:val="395C5D7A"/>
    <w:rsid w:val="395D2AFE"/>
    <w:rsid w:val="396D12EF"/>
    <w:rsid w:val="3979071F"/>
    <w:rsid w:val="397C4FE1"/>
    <w:rsid w:val="39881BA5"/>
    <w:rsid w:val="39A7602E"/>
    <w:rsid w:val="39A972D2"/>
    <w:rsid w:val="39B9762B"/>
    <w:rsid w:val="39C0301E"/>
    <w:rsid w:val="39C50215"/>
    <w:rsid w:val="39C51B69"/>
    <w:rsid w:val="39CB29E4"/>
    <w:rsid w:val="39CC65C2"/>
    <w:rsid w:val="39D81215"/>
    <w:rsid w:val="39E01F38"/>
    <w:rsid w:val="39E51DEA"/>
    <w:rsid w:val="39F72B0C"/>
    <w:rsid w:val="39FF7E7A"/>
    <w:rsid w:val="3A096470"/>
    <w:rsid w:val="3A0F05A7"/>
    <w:rsid w:val="3A1B69BC"/>
    <w:rsid w:val="3A262820"/>
    <w:rsid w:val="3A3B194C"/>
    <w:rsid w:val="3A4618E8"/>
    <w:rsid w:val="3A4C7455"/>
    <w:rsid w:val="3A52072C"/>
    <w:rsid w:val="3A530A81"/>
    <w:rsid w:val="3A574D68"/>
    <w:rsid w:val="3A5E00D3"/>
    <w:rsid w:val="3A643B33"/>
    <w:rsid w:val="3A654CBF"/>
    <w:rsid w:val="3A765BE5"/>
    <w:rsid w:val="3A765C33"/>
    <w:rsid w:val="3A780A62"/>
    <w:rsid w:val="3A79356B"/>
    <w:rsid w:val="3A7C5CB8"/>
    <w:rsid w:val="3A8962DD"/>
    <w:rsid w:val="3A8B7320"/>
    <w:rsid w:val="3A8F023A"/>
    <w:rsid w:val="3A9B218C"/>
    <w:rsid w:val="3A9E4171"/>
    <w:rsid w:val="3AAB53EA"/>
    <w:rsid w:val="3AAB7A97"/>
    <w:rsid w:val="3AB018BF"/>
    <w:rsid w:val="3ABB7DB6"/>
    <w:rsid w:val="3AC9218E"/>
    <w:rsid w:val="3ACF793C"/>
    <w:rsid w:val="3AD66528"/>
    <w:rsid w:val="3ADF4C98"/>
    <w:rsid w:val="3AE00480"/>
    <w:rsid w:val="3AF051D7"/>
    <w:rsid w:val="3B1368EA"/>
    <w:rsid w:val="3B30683B"/>
    <w:rsid w:val="3B4009F6"/>
    <w:rsid w:val="3B59020F"/>
    <w:rsid w:val="3B6C6D2C"/>
    <w:rsid w:val="3B6F5667"/>
    <w:rsid w:val="3B756635"/>
    <w:rsid w:val="3B93091F"/>
    <w:rsid w:val="3B961F20"/>
    <w:rsid w:val="3BA40500"/>
    <w:rsid w:val="3BAE443B"/>
    <w:rsid w:val="3BD912D8"/>
    <w:rsid w:val="3BD951B8"/>
    <w:rsid w:val="3BDA4D75"/>
    <w:rsid w:val="3BDB7762"/>
    <w:rsid w:val="3BE94EB5"/>
    <w:rsid w:val="3BEB53EF"/>
    <w:rsid w:val="3BEF0F45"/>
    <w:rsid w:val="3BFB6008"/>
    <w:rsid w:val="3C085FFC"/>
    <w:rsid w:val="3C1B5C28"/>
    <w:rsid w:val="3C1C37D5"/>
    <w:rsid w:val="3C2C03A3"/>
    <w:rsid w:val="3C2D22A7"/>
    <w:rsid w:val="3C2E4FA1"/>
    <w:rsid w:val="3C3173F1"/>
    <w:rsid w:val="3C317D42"/>
    <w:rsid w:val="3C3205E6"/>
    <w:rsid w:val="3C481166"/>
    <w:rsid w:val="3C521107"/>
    <w:rsid w:val="3C705212"/>
    <w:rsid w:val="3C7A218E"/>
    <w:rsid w:val="3C7C14C3"/>
    <w:rsid w:val="3C7C642D"/>
    <w:rsid w:val="3C8526DB"/>
    <w:rsid w:val="3C91268C"/>
    <w:rsid w:val="3C983A68"/>
    <w:rsid w:val="3CA33FF5"/>
    <w:rsid w:val="3CB908A5"/>
    <w:rsid w:val="3CC229B1"/>
    <w:rsid w:val="3CC83EC8"/>
    <w:rsid w:val="3CCC11A5"/>
    <w:rsid w:val="3CD06FF8"/>
    <w:rsid w:val="3CD13F3C"/>
    <w:rsid w:val="3CDA6C94"/>
    <w:rsid w:val="3CE407C3"/>
    <w:rsid w:val="3CFC73C1"/>
    <w:rsid w:val="3D0C3E7F"/>
    <w:rsid w:val="3D15616A"/>
    <w:rsid w:val="3D2D22BB"/>
    <w:rsid w:val="3D3C4159"/>
    <w:rsid w:val="3D5E07D6"/>
    <w:rsid w:val="3D60731F"/>
    <w:rsid w:val="3D617C2E"/>
    <w:rsid w:val="3D6858F2"/>
    <w:rsid w:val="3D7049BB"/>
    <w:rsid w:val="3D73084C"/>
    <w:rsid w:val="3D822183"/>
    <w:rsid w:val="3D973DE7"/>
    <w:rsid w:val="3D9A2E70"/>
    <w:rsid w:val="3DB86FB1"/>
    <w:rsid w:val="3DBD101A"/>
    <w:rsid w:val="3DBE4501"/>
    <w:rsid w:val="3DD14030"/>
    <w:rsid w:val="3DEB3E1F"/>
    <w:rsid w:val="3DF34666"/>
    <w:rsid w:val="3DF3718F"/>
    <w:rsid w:val="3DFE6BE4"/>
    <w:rsid w:val="3E08032A"/>
    <w:rsid w:val="3E09356E"/>
    <w:rsid w:val="3E13317B"/>
    <w:rsid w:val="3E1A3019"/>
    <w:rsid w:val="3E1B6A39"/>
    <w:rsid w:val="3E330175"/>
    <w:rsid w:val="3E340A01"/>
    <w:rsid w:val="3E395FE8"/>
    <w:rsid w:val="3E412892"/>
    <w:rsid w:val="3E696971"/>
    <w:rsid w:val="3E7B50A6"/>
    <w:rsid w:val="3E7C3BE3"/>
    <w:rsid w:val="3E9F29D9"/>
    <w:rsid w:val="3EA415B8"/>
    <w:rsid w:val="3EA656D7"/>
    <w:rsid w:val="3EAB1E0F"/>
    <w:rsid w:val="3EAF5882"/>
    <w:rsid w:val="3EAF58D6"/>
    <w:rsid w:val="3EB83148"/>
    <w:rsid w:val="3EBB754B"/>
    <w:rsid w:val="3EC91CA7"/>
    <w:rsid w:val="3ED11DCE"/>
    <w:rsid w:val="3EE50CDC"/>
    <w:rsid w:val="3EEB7A38"/>
    <w:rsid w:val="3EF64A9E"/>
    <w:rsid w:val="3F07283C"/>
    <w:rsid w:val="3F0C2486"/>
    <w:rsid w:val="3F196AE0"/>
    <w:rsid w:val="3F1A6AB3"/>
    <w:rsid w:val="3F2006FA"/>
    <w:rsid w:val="3F3F7103"/>
    <w:rsid w:val="3F471E51"/>
    <w:rsid w:val="3F4D35CC"/>
    <w:rsid w:val="3F4F783B"/>
    <w:rsid w:val="3F5D5094"/>
    <w:rsid w:val="3F5D7FD8"/>
    <w:rsid w:val="3F634A8A"/>
    <w:rsid w:val="3F7D04B5"/>
    <w:rsid w:val="3F89027E"/>
    <w:rsid w:val="3F9969A6"/>
    <w:rsid w:val="3F9B0F79"/>
    <w:rsid w:val="3F9F26C4"/>
    <w:rsid w:val="3FA66799"/>
    <w:rsid w:val="3FA8793F"/>
    <w:rsid w:val="3FAE0568"/>
    <w:rsid w:val="3FAF5736"/>
    <w:rsid w:val="3FB40F2A"/>
    <w:rsid w:val="3FB44022"/>
    <w:rsid w:val="3FB64885"/>
    <w:rsid w:val="3FBB509F"/>
    <w:rsid w:val="3FC150EA"/>
    <w:rsid w:val="3FC34C26"/>
    <w:rsid w:val="3FD678B7"/>
    <w:rsid w:val="3FF334CF"/>
    <w:rsid w:val="3FF553EC"/>
    <w:rsid w:val="3FF5577E"/>
    <w:rsid w:val="3FF63021"/>
    <w:rsid w:val="4007051A"/>
    <w:rsid w:val="400718BB"/>
    <w:rsid w:val="400D4067"/>
    <w:rsid w:val="400F78A2"/>
    <w:rsid w:val="40252265"/>
    <w:rsid w:val="403016FA"/>
    <w:rsid w:val="4040327F"/>
    <w:rsid w:val="40406B47"/>
    <w:rsid w:val="40450737"/>
    <w:rsid w:val="40482A06"/>
    <w:rsid w:val="405E002B"/>
    <w:rsid w:val="405E0C22"/>
    <w:rsid w:val="408E7640"/>
    <w:rsid w:val="409B4E96"/>
    <w:rsid w:val="40A214FE"/>
    <w:rsid w:val="40A43441"/>
    <w:rsid w:val="40A842A0"/>
    <w:rsid w:val="40B2178A"/>
    <w:rsid w:val="40B71F10"/>
    <w:rsid w:val="40C71CAA"/>
    <w:rsid w:val="40CC4F26"/>
    <w:rsid w:val="40CC6D60"/>
    <w:rsid w:val="40DF3FA0"/>
    <w:rsid w:val="40F63018"/>
    <w:rsid w:val="41132366"/>
    <w:rsid w:val="41195088"/>
    <w:rsid w:val="411F7D83"/>
    <w:rsid w:val="412433C3"/>
    <w:rsid w:val="41296F9E"/>
    <w:rsid w:val="41320895"/>
    <w:rsid w:val="413651CB"/>
    <w:rsid w:val="413D3762"/>
    <w:rsid w:val="413E7F62"/>
    <w:rsid w:val="41603CC9"/>
    <w:rsid w:val="416135BF"/>
    <w:rsid w:val="417012D0"/>
    <w:rsid w:val="4173588C"/>
    <w:rsid w:val="417571AA"/>
    <w:rsid w:val="419307B7"/>
    <w:rsid w:val="41951D25"/>
    <w:rsid w:val="41953EBC"/>
    <w:rsid w:val="41AA6352"/>
    <w:rsid w:val="41C16DD8"/>
    <w:rsid w:val="41CC4F44"/>
    <w:rsid w:val="41CC6ED9"/>
    <w:rsid w:val="41DE35AE"/>
    <w:rsid w:val="420B60B0"/>
    <w:rsid w:val="421921D0"/>
    <w:rsid w:val="42212FA0"/>
    <w:rsid w:val="422745A0"/>
    <w:rsid w:val="42291116"/>
    <w:rsid w:val="422E1046"/>
    <w:rsid w:val="422E4586"/>
    <w:rsid w:val="423C2AD9"/>
    <w:rsid w:val="424156E1"/>
    <w:rsid w:val="42486BFE"/>
    <w:rsid w:val="42502AEF"/>
    <w:rsid w:val="425F60D0"/>
    <w:rsid w:val="42736EF5"/>
    <w:rsid w:val="427B3BEA"/>
    <w:rsid w:val="429C6035"/>
    <w:rsid w:val="42A169F2"/>
    <w:rsid w:val="42AC33D4"/>
    <w:rsid w:val="42AF7D50"/>
    <w:rsid w:val="42B0757E"/>
    <w:rsid w:val="42B66ECB"/>
    <w:rsid w:val="42BE6E7B"/>
    <w:rsid w:val="42C100CC"/>
    <w:rsid w:val="42C52C5C"/>
    <w:rsid w:val="42C87D36"/>
    <w:rsid w:val="42CA0A19"/>
    <w:rsid w:val="42D4054D"/>
    <w:rsid w:val="42D53F99"/>
    <w:rsid w:val="42E64EA9"/>
    <w:rsid w:val="42E841ED"/>
    <w:rsid w:val="42E8644D"/>
    <w:rsid w:val="42E952C8"/>
    <w:rsid w:val="42EA4E5A"/>
    <w:rsid w:val="42F000C3"/>
    <w:rsid w:val="42F20296"/>
    <w:rsid w:val="42F77ACC"/>
    <w:rsid w:val="43062BEF"/>
    <w:rsid w:val="4308044B"/>
    <w:rsid w:val="43323A16"/>
    <w:rsid w:val="4362678C"/>
    <w:rsid w:val="436755E9"/>
    <w:rsid w:val="436774E5"/>
    <w:rsid w:val="436D2A20"/>
    <w:rsid w:val="4373286E"/>
    <w:rsid w:val="437A5403"/>
    <w:rsid w:val="437D477D"/>
    <w:rsid w:val="43887299"/>
    <w:rsid w:val="439A7AF0"/>
    <w:rsid w:val="439B103C"/>
    <w:rsid w:val="439C56D7"/>
    <w:rsid w:val="43A61A00"/>
    <w:rsid w:val="43A6639D"/>
    <w:rsid w:val="43A840DE"/>
    <w:rsid w:val="43AA6C35"/>
    <w:rsid w:val="43AB6B58"/>
    <w:rsid w:val="43B40106"/>
    <w:rsid w:val="43B41145"/>
    <w:rsid w:val="43B47B79"/>
    <w:rsid w:val="43B5674C"/>
    <w:rsid w:val="43B8200D"/>
    <w:rsid w:val="43C37623"/>
    <w:rsid w:val="43C60F10"/>
    <w:rsid w:val="43CA1F17"/>
    <w:rsid w:val="43DE142C"/>
    <w:rsid w:val="43F43213"/>
    <w:rsid w:val="43F9567F"/>
    <w:rsid w:val="44035EDC"/>
    <w:rsid w:val="44066E2D"/>
    <w:rsid w:val="44084C9B"/>
    <w:rsid w:val="440973BB"/>
    <w:rsid w:val="44155844"/>
    <w:rsid w:val="442623BC"/>
    <w:rsid w:val="444A3FFE"/>
    <w:rsid w:val="4453553D"/>
    <w:rsid w:val="44560296"/>
    <w:rsid w:val="44560E45"/>
    <w:rsid w:val="44675951"/>
    <w:rsid w:val="44686E27"/>
    <w:rsid w:val="44732A81"/>
    <w:rsid w:val="4492209A"/>
    <w:rsid w:val="44947728"/>
    <w:rsid w:val="449C7D35"/>
    <w:rsid w:val="449E0C3F"/>
    <w:rsid w:val="44B30CE4"/>
    <w:rsid w:val="44B739F1"/>
    <w:rsid w:val="44BC1C35"/>
    <w:rsid w:val="44BD09F5"/>
    <w:rsid w:val="44D13029"/>
    <w:rsid w:val="44E5520F"/>
    <w:rsid w:val="44EB5A26"/>
    <w:rsid w:val="450103DD"/>
    <w:rsid w:val="450B1B0D"/>
    <w:rsid w:val="450F6B0F"/>
    <w:rsid w:val="45243205"/>
    <w:rsid w:val="452627E2"/>
    <w:rsid w:val="45291D14"/>
    <w:rsid w:val="452C1C9E"/>
    <w:rsid w:val="452D698E"/>
    <w:rsid w:val="452E53CF"/>
    <w:rsid w:val="453802A0"/>
    <w:rsid w:val="453D08BC"/>
    <w:rsid w:val="4540549A"/>
    <w:rsid w:val="454F5092"/>
    <w:rsid w:val="45535D12"/>
    <w:rsid w:val="45781176"/>
    <w:rsid w:val="457A6148"/>
    <w:rsid w:val="45837C34"/>
    <w:rsid w:val="458F2F31"/>
    <w:rsid w:val="45944C10"/>
    <w:rsid w:val="45986A4A"/>
    <w:rsid w:val="45A47051"/>
    <w:rsid w:val="45A6726E"/>
    <w:rsid w:val="45B25CC5"/>
    <w:rsid w:val="45B62692"/>
    <w:rsid w:val="45C22493"/>
    <w:rsid w:val="45C24717"/>
    <w:rsid w:val="45C92DE3"/>
    <w:rsid w:val="45D37072"/>
    <w:rsid w:val="45D65741"/>
    <w:rsid w:val="45D77F29"/>
    <w:rsid w:val="45F67F67"/>
    <w:rsid w:val="45F94789"/>
    <w:rsid w:val="45FB4F00"/>
    <w:rsid w:val="460235BD"/>
    <w:rsid w:val="460706A5"/>
    <w:rsid w:val="4622492A"/>
    <w:rsid w:val="4638694C"/>
    <w:rsid w:val="463D062D"/>
    <w:rsid w:val="465618BE"/>
    <w:rsid w:val="465817B9"/>
    <w:rsid w:val="465B7EF5"/>
    <w:rsid w:val="465F55B1"/>
    <w:rsid w:val="466233D9"/>
    <w:rsid w:val="466F6401"/>
    <w:rsid w:val="467016A4"/>
    <w:rsid w:val="467E2427"/>
    <w:rsid w:val="46815210"/>
    <w:rsid w:val="468A4824"/>
    <w:rsid w:val="468C26DD"/>
    <w:rsid w:val="469018A4"/>
    <w:rsid w:val="469D5B1D"/>
    <w:rsid w:val="46CA0035"/>
    <w:rsid w:val="46CC1192"/>
    <w:rsid w:val="46D24864"/>
    <w:rsid w:val="46EC4843"/>
    <w:rsid w:val="46F519D0"/>
    <w:rsid w:val="46F705FA"/>
    <w:rsid w:val="46F904E8"/>
    <w:rsid w:val="4703102D"/>
    <w:rsid w:val="47045FD4"/>
    <w:rsid w:val="471740E2"/>
    <w:rsid w:val="47181441"/>
    <w:rsid w:val="471A3EDF"/>
    <w:rsid w:val="471C7F0E"/>
    <w:rsid w:val="47233568"/>
    <w:rsid w:val="472B45DC"/>
    <w:rsid w:val="47381F5E"/>
    <w:rsid w:val="47440AFF"/>
    <w:rsid w:val="47456D27"/>
    <w:rsid w:val="475B115F"/>
    <w:rsid w:val="476F5C2F"/>
    <w:rsid w:val="477F5A58"/>
    <w:rsid w:val="478044F8"/>
    <w:rsid w:val="478F2D03"/>
    <w:rsid w:val="479223B1"/>
    <w:rsid w:val="47934FDE"/>
    <w:rsid w:val="479D38DF"/>
    <w:rsid w:val="47B2035D"/>
    <w:rsid w:val="47CF7842"/>
    <w:rsid w:val="47D0778A"/>
    <w:rsid w:val="47D77E47"/>
    <w:rsid w:val="47D841BB"/>
    <w:rsid w:val="47DD29A0"/>
    <w:rsid w:val="47EC3BD1"/>
    <w:rsid w:val="47EC75E0"/>
    <w:rsid w:val="47FF6552"/>
    <w:rsid w:val="48014453"/>
    <w:rsid w:val="48290273"/>
    <w:rsid w:val="484270CB"/>
    <w:rsid w:val="48443D70"/>
    <w:rsid w:val="48490BB2"/>
    <w:rsid w:val="484A482A"/>
    <w:rsid w:val="484D0D8D"/>
    <w:rsid w:val="485267EA"/>
    <w:rsid w:val="48755349"/>
    <w:rsid w:val="487D5775"/>
    <w:rsid w:val="487F061B"/>
    <w:rsid w:val="48800953"/>
    <w:rsid w:val="4880688B"/>
    <w:rsid w:val="48860DB2"/>
    <w:rsid w:val="48885E99"/>
    <w:rsid w:val="488C6E14"/>
    <w:rsid w:val="48980073"/>
    <w:rsid w:val="489B709F"/>
    <w:rsid w:val="48A0698C"/>
    <w:rsid w:val="48A4239B"/>
    <w:rsid w:val="48A46180"/>
    <w:rsid w:val="48A908B9"/>
    <w:rsid w:val="48B75462"/>
    <w:rsid w:val="48C44786"/>
    <w:rsid w:val="48C761AA"/>
    <w:rsid w:val="48C81CA1"/>
    <w:rsid w:val="48CD1A0F"/>
    <w:rsid w:val="48E87055"/>
    <w:rsid w:val="48EA28C0"/>
    <w:rsid w:val="49072BC4"/>
    <w:rsid w:val="490B18B4"/>
    <w:rsid w:val="49117305"/>
    <w:rsid w:val="49196C2A"/>
    <w:rsid w:val="491D402B"/>
    <w:rsid w:val="49302BB9"/>
    <w:rsid w:val="49357D52"/>
    <w:rsid w:val="49385364"/>
    <w:rsid w:val="493E0718"/>
    <w:rsid w:val="49561556"/>
    <w:rsid w:val="49565CDC"/>
    <w:rsid w:val="49582A0A"/>
    <w:rsid w:val="495B04D7"/>
    <w:rsid w:val="49832815"/>
    <w:rsid w:val="49903A32"/>
    <w:rsid w:val="49A56941"/>
    <w:rsid w:val="49AE406D"/>
    <w:rsid w:val="49AF5565"/>
    <w:rsid w:val="49B669A9"/>
    <w:rsid w:val="49B92CD5"/>
    <w:rsid w:val="49BF5A7D"/>
    <w:rsid w:val="49CB1390"/>
    <w:rsid w:val="49D92519"/>
    <w:rsid w:val="49DB7D5D"/>
    <w:rsid w:val="49E07500"/>
    <w:rsid w:val="49EC40AE"/>
    <w:rsid w:val="49FA6B69"/>
    <w:rsid w:val="49FB409A"/>
    <w:rsid w:val="4A0D2B83"/>
    <w:rsid w:val="4A1107C9"/>
    <w:rsid w:val="4A230A3E"/>
    <w:rsid w:val="4A2372F0"/>
    <w:rsid w:val="4A2817DD"/>
    <w:rsid w:val="4A2F1E12"/>
    <w:rsid w:val="4A331881"/>
    <w:rsid w:val="4A480844"/>
    <w:rsid w:val="4A4D0D9E"/>
    <w:rsid w:val="4A4E2E7B"/>
    <w:rsid w:val="4A5E1486"/>
    <w:rsid w:val="4A5F03B8"/>
    <w:rsid w:val="4A604769"/>
    <w:rsid w:val="4A651439"/>
    <w:rsid w:val="4A6D49EC"/>
    <w:rsid w:val="4A751B8D"/>
    <w:rsid w:val="4A851D59"/>
    <w:rsid w:val="4A9222E6"/>
    <w:rsid w:val="4A955D05"/>
    <w:rsid w:val="4A9B4646"/>
    <w:rsid w:val="4AA01592"/>
    <w:rsid w:val="4AA5469D"/>
    <w:rsid w:val="4AA55C8A"/>
    <w:rsid w:val="4AB37A1F"/>
    <w:rsid w:val="4AC42C08"/>
    <w:rsid w:val="4AE6496F"/>
    <w:rsid w:val="4AF704B1"/>
    <w:rsid w:val="4AF84AD6"/>
    <w:rsid w:val="4B1355B6"/>
    <w:rsid w:val="4B273508"/>
    <w:rsid w:val="4B2F6D4C"/>
    <w:rsid w:val="4B3F0606"/>
    <w:rsid w:val="4B4C27EA"/>
    <w:rsid w:val="4B583617"/>
    <w:rsid w:val="4B644064"/>
    <w:rsid w:val="4B6D100C"/>
    <w:rsid w:val="4B802116"/>
    <w:rsid w:val="4B880260"/>
    <w:rsid w:val="4B8A3874"/>
    <w:rsid w:val="4B9009B5"/>
    <w:rsid w:val="4B9F3288"/>
    <w:rsid w:val="4BAD349B"/>
    <w:rsid w:val="4BAF07EA"/>
    <w:rsid w:val="4BB91216"/>
    <w:rsid w:val="4BBB0D13"/>
    <w:rsid w:val="4BC546E9"/>
    <w:rsid w:val="4BC670FB"/>
    <w:rsid w:val="4BC73358"/>
    <w:rsid w:val="4BCB0BB8"/>
    <w:rsid w:val="4BDC0E6C"/>
    <w:rsid w:val="4BE242C6"/>
    <w:rsid w:val="4BE733B8"/>
    <w:rsid w:val="4BEB7F49"/>
    <w:rsid w:val="4BF34945"/>
    <w:rsid w:val="4BF739D8"/>
    <w:rsid w:val="4BFE0FB8"/>
    <w:rsid w:val="4C083A34"/>
    <w:rsid w:val="4C1C48F8"/>
    <w:rsid w:val="4C2046EF"/>
    <w:rsid w:val="4C383EE7"/>
    <w:rsid w:val="4C443040"/>
    <w:rsid w:val="4C4B18A5"/>
    <w:rsid w:val="4C602842"/>
    <w:rsid w:val="4C621865"/>
    <w:rsid w:val="4C822AE3"/>
    <w:rsid w:val="4C8F2E79"/>
    <w:rsid w:val="4C97609D"/>
    <w:rsid w:val="4CAE1F25"/>
    <w:rsid w:val="4CB06B94"/>
    <w:rsid w:val="4CB62F0D"/>
    <w:rsid w:val="4CB7247C"/>
    <w:rsid w:val="4CCB64A0"/>
    <w:rsid w:val="4CCC3E29"/>
    <w:rsid w:val="4CCE39CC"/>
    <w:rsid w:val="4CCE64D5"/>
    <w:rsid w:val="4CD96B8B"/>
    <w:rsid w:val="4CE13679"/>
    <w:rsid w:val="4CE372BC"/>
    <w:rsid w:val="4CE961BE"/>
    <w:rsid w:val="4CEF0170"/>
    <w:rsid w:val="4CF52C96"/>
    <w:rsid w:val="4CFE4680"/>
    <w:rsid w:val="4CFF1E46"/>
    <w:rsid w:val="4D237C6A"/>
    <w:rsid w:val="4D263EBA"/>
    <w:rsid w:val="4D2D1EEC"/>
    <w:rsid w:val="4D4B4F61"/>
    <w:rsid w:val="4D5F1075"/>
    <w:rsid w:val="4D6A0D32"/>
    <w:rsid w:val="4D6E2668"/>
    <w:rsid w:val="4D7A75C0"/>
    <w:rsid w:val="4D8B1B62"/>
    <w:rsid w:val="4D9972B6"/>
    <w:rsid w:val="4DAB5D36"/>
    <w:rsid w:val="4DAD5ECA"/>
    <w:rsid w:val="4DAF2B73"/>
    <w:rsid w:val="4DC170D6"/>
    <w:rsid w:val="4DCD6321"/>
    <w:rsid w:val="4DD14D3E"/>
    <w:rsid w:val="4DDD1212"/>
    <w:rsid w:val="4DFA3B6C"/>
    <w:rsid w:val="4E0217C5"/>
    <w:rsid w:val="4E076578"/>
    <w:rsid w:val="4E097536"/>
    <w:rsid w:val="4E0C1EA6"/>
    <w:rsid w:val="4E131579"/>
    <w:rsid w:val="4E1773D1"/>
    <w:rsid w:val="4E1B2A96"/>
    <w:rsid w:val="4E1E69E5"/>
    <w:rsid w:val="4E2C00C7"/>
    <w:rsid w:val="4E313A99"/>
    <w:rsid w:val="4E3149C9"/>
    <w:rsid w:val="4E374E44"/>
    <w:rsid w:val="4E3B474F"/>
    <w:rsid w:val="4E3B55D5"/>
    <w:rsid w:val="4E415A3D"/>
    <w:rsid w:val="4E474EC8"/>
    <w:rsid w:val="4E5214CC"/>
    <w:rsid w:val="4E622C36"/>
    <w:rsid w:val="4E73602A"/>
    <w:rsid w:val="4E8B5FDD"/>
    <w:rsid w:val="4E9A1813"/>
    <w:rsid w:val="4EB23656"/>
    <w:rsid w:val="4EB325B9"/>
    <w:rsid w:val="4EB36E47"/>
    <w:rsid w:val="4EC9761D"/>
    <w:rsid w:val="4ED20ACC"/>
    <w:rsid w:val="4EEC3787"/>
    <w:rsid w:val="4F0D2C9C"/>
    <w:rsid w:val="4F246885"/>
    <w:rsid w:val="4F340E78"/>
    <w:rsid w:val="4F3E08D3"/>
    <w:rsid w:val="4F3F7114"/>
    <w:rsid w:val="4F422DCC"/>
    <w:rsid w:val="4F466DC2"/>
    <w:rsid w:val="4F4865E4"/>
    <w:rsid w:val="4F531455"/>
    <w:rsid w:val="4F540421"/>
    <w:rsid w:val="4F585607"/>
    <w:rsid w:val="4F5955F7"/>
    <w:rsid w:val="4FA42B68"/>
    <w:rsid w:val="4FA7481A"/>
    <w:rsid w:val="4FAE782D"/>
    <w:rsid w:val="4FB83A76"/>
    <w:rsid w:val="4FD5781F"/>
    <w:rsid w:val="4FDE0F51"/>
    <w:rsid w:val="4FE27F93"/>
    <w:rsid w:val="4FF2535E"/>
    <w:rsid w:val="4FF34714"/>
    <w:rsid w:val="4FF96E15"/>
    <w:rsid w:val="4FFA41E4"/>
    <w:rsid w:val="500043DA"/>
    <w:rsid w:val="50066F10"/>
    <w:rsid w:val="50083856"/>
    <w:rsid w:val="502352CA"/>
    <w:rsid w:val="502B0E96"/>
    <w:rsid w:val="502F7279"/>
    <w:rsid w:val="50300FAC"/>
    <w:rsid w:val="50310C54"/>
    <w:rsid w:val="504911A5"/>
    <w:rsid w:val="50493242"/>
    <w:rsid w:val="504B75A0"/>
    <w:rsid w:val="5053091E"/>
    <w:rsid w:val="505C2FD1"/>
    <w:rsid w:val="505F32E9"/>
    <w:rsid w:val="50742BD6"/>
    <w:rsid w:val="507531CA"/>
    <w:rsid w:val="508B4B24"/>
    <w:rsid w:val="508C46B8"/>
    <w:rsid w:val="509A0026"/>
    <w:rsid w:val="50AF1CA5"/>
    <w:rsid w:val="50AF37F2"/>
    <w:rsid w:val="50B6211E"/>
    <w:rsid w:val="50B64EA5"/>
    <w:rsid w:val="50B70C9C"/>
    <w:rsid w:val="50C730B6"/>
    <w:rsid w:val="50D93036"/>
    <w:rsid w:val="50DB4041"/>
    <w:rsid w:val="50E51129"/>
    <w:rsid w:val="50EA5BAD"/>
    <w:rsid w:val="50FD06E6"/>
    <w:rsid w:val="50FD3916"/>
    <w:rsid w:val="50FF48BC"/>
    <w:rsid w:val="51035CCC"/>
    <w:rsid w:val="511305E9"/>
    <w:rsid w:val="512178ED"/>
    <w:rsid w:val="512F6EC2"/>
    <w:rsid w:val="514106FA"/>
    <w:rsid w:val="51455086"/>
    <w:rsid w:val="51460976"/>
    <w:rsid w:val="51497552"/>
    <w:rsid w:val="514C436C"/>
    <w:rsid w:val="515B5350"/>
    <w:rsid w:val="515E4E61"/>
    <w:rsid w:val="51623454"/>
    <w:rsid w:val="517267C5"/>
    <w:rsid w:val="51990E5F"/>
    <w:rsid w:val="51A730FB"/>
    <w:rsid w:val="51AA3088"/>
    <w:rsid w:val="51AC080E"/>
    <w:rsid w:val="51B1558B"/>
    <w:rsid w:val="51B22265"/>
    <w:rsid w:val="51B721A5"/>
    <w:rsid w:val="51BB2E77"/>
    <w:rsid w:val="51BC1DD1"/>
    <w:rsid w:val="51BD002A"/>
    <w:rsid w:val="51CB4EDE"/>
    <w:rsid w:val="51D87FA9"/>
    <w:rsid w:val="51EA635F"/>
    <w:rsid w:val="51ED28DA"/>
    <w:rsid w:val="51F3140F"/>
    <w:rsid w:val="51F653CE"/>
    <w:rsid w:val="51FE4B0A"/>
    <w:rsid w:val="520B6E8B"/>
    <w:rsid w:val="521648A3"/>
    <w:rsid w:val="52166FF6"/>
    <w:rsid w:val="52223971"/>
    <w:rsid w:val="522261E6"/>
    <w:rsid w:val="5225651E"/>
    <w:rsid w:val="5226345D"/>
    <w:rsid w:val="52280A27"/>
    <w:rsid w:val="52347BA5"/>
    <w:rsid w:val="523E0300"/>
    <w:rsid w:val="523E7755"/>
    <w:rsid w:val="523F100C"/>
    <w:rsid w:val="523F5F70"/>
    <w:rsid w:val="525349C2"/>
    <w:rsid w:val="52537267"/>
    <w:rsid w:val="52547ED0"/>
    <w:rsid w:val="525B1660"/>
    <w:rsid w:val="52614525"/>
    <w:rsid w:val="52616F40"/>
    <w:rsid w:val="526606C2"/>
    <w:rsid w:val="526810E0"/>
    <w:rsid w:val="526F5C0A"/>
    <w:rsid w:val="527549F8"/>
    <w:rsid w:val="527B3EB2"/>
    <w:rsid w:val="527D45FE"/>
    <w:rsid w:val="52826E13"/>
    <w:rsid w:val="529B6683"/>
    <w:rsid w:val="529F5871"/>
    <w:rsid w:val="52A3406A"/>
    <w:rsid w:val="52AF1BBC"/>
    <w:rsid w:val="52B46545"/>
    <w:rsid w:val="52B94528"/>
    <w:rsid w:val="52C35DBE"/>
    <w:rsid w:val="52CE017D"/>
    <w:rsid w:val="52D21A81"/>
    <w:rsid w:val="52D66973"/>
    <w:rsid w:val="52D74B10"/>
    <w:rsid w:val="5302643A"/>
    <w:rsid w:val="531A021B"/>
    <w:rsid w:val="531B1419"/>
    <w:rsid w:val="53262237"/>
    <w:rsid w:val="53283385"/>
    <w:rsid w:val="53293C07"/>
    <w:rsid w:val="532B23AA"/>
    <w:rsid w:val="534F1F4C"/>
    <w:rsid w:val="53582087"/>
    <w:rsid w:val="53705290"/>
    <w:rsid w:val="53774ABF"/>
    <w:rsid w:val="5396264A"/>
    <w:rsid w:val="5396516F"/>
    <w:rsid w:val="539A3AAE"/>
    <w:rsid w:val="539A6F91"/>
    <w:rsid w:val="539F110C"/>
    <w:rsid w:val="53AB31A2"/>
    <w:rsid w:val="53AE3475"/>
    <w:rsid w:val="53B16287"/>
    <w:rsid w:val="53B6363C"/>
    <w:rsid w:val="53D63474"/>
    <w:rsid w:val="53D8096B"/>
    <w:rsid w:val="53D96A6B"/>
    <w:rsid w:val="53DA0427"/>
    <w:rsid w:val="53E76B5D"/>
    <w:rsid w:val="53E9546C"/>
    <w:rsid w:val="53F221DB"/>
    <w:rsid w:val="53F501C2"/>
    <w:rsid w:val="53F85FCA"/>
    <w:rsid w:val="53FD6C32"/>
    <w:rsid w:val="5408172B"/>
    <w:rsid w:val="54181C74"/>
    <w:rsid w:val="542377D7"/>
    <w:rsid w:val="542E146B"/>
    <w:rsid w:val="54391A3E"/>
    <w:rsid w:val="544156AE"/>
    <w:rsid w:val="54446CB7"/>
    <w:rsid w:val="5454383C"/>
    <w:rsid w:val="546567C6"/>
    <w:rsid w:val="547072CC"/>
    <w:rsid w:val="54947768"/>
    <w:rsid w:val="549920F9"/>
    <w:rsid w:val="54B4696D"/>
    <w:rsid w:val="54BB0970"/>
    <w:rsid w:val="54BE1871"/>
    <w:rsid w:val="54C04603"/>
    <w:rsid w:val="54C66668"/>
    <w:rsid w:val="54C70FAE"/>
    <w:rsid w:val="54C71255"/>
    <w:rsid w:val="54CD608E"/>
    <w:rsid w:val="54F378E0"/>
    <w:rsid w:val="55066582"/>
    <w:rsid w:val="550A1D8A"/>
    <w:rsid w:val="550A6D34"/>
    <w:rsid w:val="550C44D7"/>
    <w:rsid w:val="55165F7F"/>
    <w:rsid w:val="551C31E6"/>
    <w:rsid w:val="551C5A23"/>
    <w:rsid w:val="55254045"/>
    <w:rsid w:val="552971FF"/>
    <w:rsid w:val="5533095F"/>
    <w:rsid w:val="553C2900"/>
    <w:rsid w:val="554A0310"/>
    <w:rsid w:val="554D4421"/>
    <w:rsid w:val="555B2E39"/>
    <w:rsid w:val="555B4746"/>
    <w:rsid w:val="55630EE8"/>
    <w:rsid w:val="55793403"/>
    <w:rsid w:val="557C0DA4"/>
    <w:rsid w:val="557F2CB7"/>
    <w:rsid w:val="55827C4C"/>
    <w:rsid w:val="5588793D"/>
    <w:rsid w:val="558C0CBB"/>
    <w:rsid w:val="558E42D5"/>
    <w:rsid w:val="55905D0D"/>
    <w:rsid w:val="55954268"/>
    <w:rsid w:val="559C66B3"/>
    <w:rsid w:val="55A83847"/>
    <w:rsid w:val="55AA09EE"/>
    <w:rsid w:val="55B328F3"/>
    <w:rsid w:val="55CB737C"/>
    <w:rsid w:val="55D61410"/>
    <w:rsid w:val="55E8759D"/>
    <w:rsid w:val="55EA2661"/>
    <w:rsid w:val="55F0236A"/>
    <w:rsid w:val="55FB5F41"/>
    <w:rsid w:val="56063D93"/>
    <w:rsid w:val="560C2EC1"/>
    <w:rsid w:val="56193181"/>
    <w:rsid w:val="5619353F"/>
    <w:rsid w:val="561C05E0"/>
    <w:rsid w:val="561D19DF"/>
    <w:rsid w:val="561D5FAE"/>
    <w:rsid w:val="5629627F"/>
    <w:rsid w:val="562F5363"/>
    <w:rsid w:val="56334D90"/>
    <w:rsid w:val="5640649F"/>
    <w:rsid w:val="564315D7"/>
    <w:rsid w:val="564B02FA"/>
    <w:rsid w:val="56512250"/>
    <w:rsid w:val="565355EA"/>
    <w:rsid w:val="565A0836"/>
    <w:rsid w:val="565B655C"/>
    <w:rsid w:val="566C2970"/>
    <w:rsid w:val="566F144B"/>
    <w:rsid w:val="56713A5D"/>
    <w:rsid w:val="567B1D84"/>
    <w:rsid w:val="567F5E2A"/>
    <w:rsid w:val="568B398B"/>
    <w:rsid w:val="568E60AB"/>
    <w:rsid w:val="56930682"/>
    <w:rsid w:val="56982270"/>
    <w:rsid w:val="56B24B95"/>
    <w:rsid w:val="56BA651A"/>
    <w:rsid w:val="56C900A8"/>
    <w:rsid w:val="56C957C9"/>
    <w:rsid w:val="56CB78F5"/>
    <w:rsid w:val="56E05B5F"/>
    <w:rsid w:val="56EA4B8D"/>
    <w:rsid w:val="56EB2AB3"/>
    <w:rsid w:val="56F740E5"/>
    <w:rsid w:val="56FF2042"/>
    <w:rsid w:val="57204C75"/>
    <w:rsid w:val="57365F61"/>
    <w:rsid w:val="573A102A"/>
    <w:rsid w:val="573D55F1"/>
    <w:rsid w:val="57524B93"/>
    <w:rsid w:val="575C3579"/>
    <w:rsid w:val="575D24DF"/>
    <w:rsid w:val="57630DD2"/>
    <w:rsid w:val="57644866"/>
    <w:rsid w:val="576A0979"/>
    <w:rsid w:val="577E45B8"/>
    <w:rsid w:val="57874412"/>
    <w:rsid w:val="578F0344"/>
    <w:rsid w:val="57925247"/>
    <w:rsid w:val="57B745DD"/>
    <w:rsid w:val="57C233C4"/>
    <w:rsid w:val="57C968EB"/>
    <w:rsid w:val="57CF093F"/>
    <w:rsid w:val="57E177BA"/>
    <w:rsid w:val="58005224"/>
    <w:rsid w:val="5818382A"/>
    <w:rsid w:val="581D4D90"/>
    <w:rsid w:val="582C7885"/>
    <w:rsid w:val="58341E98"/>
    <w:rsid w:val="583A7494"/>
    <w:rsid w:val="585014A5"/>
    <w:rsid w:val="58570AD4"/>
    <w:rsid w:val="58586264"/>
    <w:rsid w:val="58597EBD"/>
    <w:rsid w:val="58671220"/>
    <w:rsid w:val="58745363"/>
    <w:rsid w:val="587A5D5A"/>
    <w:rsid w:val="58974163"/>
    <w:rsid w:val="5899298C"/>
    <w:rsid w:val="589B569B"/>
    <w:rsid w:val="58A741FF"/>
    <w:rsid w:val="58B73603"/>
    <w:rsid w:val="58C855FC"/>
    <w:rsid w:val="58CB71CC"/>
    <w:rsid w:val="58DD5345"/>
    <w:rsid w:val="58E015F2"/>
    <w:rsid w:val="58F0608F"/>
    <w:rsid w:val="58F44B9E"/>
    <w:rsid w:val="58F60D79"/>
    <w:rsid w:val="59007526"/>
    <w:rsid w:val="590536E3"/>
    <w:rsid w:val="5909407B"/>
    <w:rsid w:val="592757DC"/>
    <w:rsid w:val="593106B9"/>
    <w:rsid w:val="59322127"/>
    <w:rsid w:val="595D25D1"/>
    <w:rsid w:val="596215F4"/>
    <w:rsid w:val="5969653C"/>
    <w:rsid w:val="596E38CF"/>
    <w:rsid w:val="59752C01"/>
    <w:rsid w:val="597E3D98"/>
    <w:rsid w:val="59985ED2"/>
    <w:rsid w:val="599C02DF"/>
    <w:rsid w:val="59A55F14"/>
    <w:rsid w:val="59BA3FB6"/>
    <w:rsid w:val="59BA5596"/>
    <w:rsid w:val="59C10FA0"/>
    <w:rsid w:val="59C96BF2"/>
    <w:rsid w:val="59D11A38"/>
    <w:rsid w:val="59D805FB"/>
    <w:rsid w:val="59DE4FCB"/>
    <w:rsid w:val="59EC3539"/>
    <w:rsid w:val="59F04C5F"/>
    <w:rsid w:val="59FB100E"/>
    <w:rsid w:val="5A0D5F7F"/>
    <w:rsid w:val="5A1257A3"/>
    <w:rsid w:val="5A2415BE"/>
    <w:rsid w:val="5A297E28"/>
    <w:rsid w:val="5A35714D"/>
    <w:rsid w:val="5A3B6E56"/>
    <w:rsid w:val="5A4647A5"/>
    <w:rsid w:val="5A4F2ECA"/>
    <w:rsid w:val="5A61583A"/>
    <w:rsid w:val="5A677EA7"/>
    <w:rsid w:val="5A8C5871"/>
    <w:rsid w:val="5AA126B6"/>
    <w:rsid w:val="5AA43A87"/>
    <w:rsid w:val="5AAE5B3D"/>
    <w:rsid w:val="5AB876A5"/>
    <w:rsid w:val="5AB95B7B"/>
    <w:rsid w:val="5ABA17DC"/>
    <w:rsid w:val="5AC62303"/>
    <w:rsid w:val="5AD318F7"/>
    <w:rsid w:val="5ADF5525"/>
    <w:rsid w:val="5ADF7BD6"/>
    <w:rsid w:val="5AE03012"/>
    <w:rsid w:val="5AEC5537"/>
    <w:rsid w:val="5AF036BC"/>
    <w:rsid w:val="5B017F3A"/>
    <w:rsid w:val="5B0211D1"/>
    <w:rsid w:val="5B057D67"/>
    <w:rsid w:val="5B1C2EB4"/>
    <w:rsid w:val="5B1D08BA"/>
    <w:rsid w:val="5B2205E1"/>
    <w:rsid w:val="5B2234FE"/>
    <w:rsid w:val="5B287C69"/>
    <w:rsid w:val="5B2E57F9"/>
    <w:rsid w:val="5B333B47"/>
    <w:rsid w:val="5B366B4D"/>
    <w:rsid w:val="5B3C5AFB"/>
    <w:rsid w:val="5B53043B"/>
    <w:rsid w:val="5B6E343F"/>
    <w:rsid w:val="5B6F58F4"/>
    <w:rsid w:val="5B89287D"/>
    <w:rsid w:val="5B9B7BCF"/>
    <w:rsid w:val="5BA2173B"/>
    <w:rsid w:val="5BAE4D58"/>
    <w:rsid w:val="5BB75BFE"/>
    <w:rsid w:val="5BBA04C0"/>
    <w:rsid w:val="5BC374D5"/>
    <w:rsid w:val="5BD2508C"/>
    <w:rsid w:val="5BD26CD8"/>
    <w:rsid w:val="5BDF3952"/>
    <w:rsid w:val="5BE072EE"/>
    <w:rsid w:val="5BE16142"/>
    <w:rsid w:val="5BE30D49"/>
    <w:rsid w:val="5BE80B08"/>
    <w:rsid w:val="5BF13725"/>
    <w:rsid w:val="5BF95E4B"/>
    <w:rsid w:val="5C066192"/>
    <w:rsid w:val="5C077783"/>
    <w:rsid w:val="5C095CCD"/>
    <w:rsid w:val="5C1B5D06"/>
    <w:rsid w:val="5C2F3041"/>
    <w:rsid w:val="5C3326AB"/>
    <w:rsid w:val="5C38550C"/>
    <w:rsid w:val="5C3A6E9E"/>
    <w:rsid w:val="5C3E1651"/>
    <w:rsid w:val="5C414A7B"/>
    <w:rsid w:val="5C60229D"/>
    <w:rsid w:val="5C610C12"/>
    <w:rsid w:val="5C612BF0"/>
    <w:rsid w:val="5C68498B"/>
    <w:rsid w:val="5C686536"/>
    <w:rsid w:val="5C7370E7"/>
    <w:rsid w:val="5C7A7A42"/>
    <w:rsid w:val="5CA35A26"/>
    <w:rsid w:val="5CC7652D"/>
    <w:rsid w:val="5CD22A0E"/>
    <w:rsid w:val="5CD35141"/>
    <w:rsid w:val="5CD51AFD"/>
    <w:rsid w:val="5CD87B6C"/>
    <w:rsid w:val="5CDC4096"/>
    <w:rsid w:val="5CEA7DE3"/>
    <w:rsid w:val="5CF73027"/>
    <w:rsid w:val="5CFF3FA7"/>
    <w:rsid w:val="5D096673"/>
    <w:rsid w:val="5D0F4E98"/>
    <w:rsid w:val="5D190327"/>
    <w:rsid w:val="5D2059F6"/>
    <w:rsid w:val="5D2B591F"/>
    <w:rsid w:val="5D3B0FF7"/>
    <w:rsid w:val="5D3C0A52"/>
    <w:rsid w:val="5D431FA8"/>
    <w:rsid w:val="5D48655E"/>
    <w:rsid w:val="5D4F4875"/>
    <w:rsid w:val="5D540848"/>
    <w:rsid w:val="5D5C6922"/>
    <w:rsid w:val="5D5E2729"/>
    <w:rsid w:val="5D6322CA"/>
    <w:rsid w:val="5D711FDA"/>
    <w:rsid w:val="5D720F35"/>
    <w:rsid w:val="5D76732D"/>
    <w:rsid w:val="5D7F55EA"/>
    <w:rsid w:val="5D9026ED"/>
    <w:rsid w:val="5D9755FC"/>
    <w:rsid w:val="5DA53C2E"/>
    <w:rsid w:val="5DAF68AA"/>
    <w:rsid w:val="5DB64877"/>
    <w:rsid w:val="5DC64228"/>
    <w:rsid w:val="5DC7295C"/>
    <w:rsid w:val="5DDD0903"/>
    <w:rsid w:val="5DED175A"/>
    <w:rsid w:val="5E076BDD"/>
    <w:rsid w:val="5E1744F1"/>
    <w:rsid w:val="5E1C0AC9"/>
    <w:rsid w:val="5E2363E8"/>
    <w:rsid w:val="5E58589D"/>
    <w:rsid w:val="5E6553AE"/>
    <w:rsid w:val="5E697C34"/>
    <w:rsid w:val="5E6F4DA2"/>
    <w:rsid w:val="5E7717C4"/>
    <w:rsid w:val="5E7C4A46"/>
    <w:rsid w:val="5E7F644D"/>
    <w:rsid w:val="5E84281E"/>
    <w:rsid w:val="5E8F448D"/>
    <w:rsid w:val="5E91532B"/>
    <w:rsid w:val="5E9809A3"/>
    <w:rsid w:val="5E982659"/>
    <w:rsid w:val="5E9A117F"/>
    <w:rsid w:val="5EA617F2"/>
    <w:rsid w:val="5EAC661D"/>
    <w:rsid w:val="5EB20864"/>
    <w:rsid w:val="5EB214F5"/>
    <w:rsid w:val="5EBD4770"/>
    <w:rsid w:val="5EC776AF"/>
    <w:rsid w:val="5EDA1312"/>
    <w:rsid w:val="5EDA19AF"/>
    <w:rsid w:val="5EDC2CB4"/>
    <w:rsid w:val="5EE87671"/>
    <w:rsid w:val="5F016385"/>
    <w:rsid w:val="5F05146A"/>
    <w:rsid w:val="5F0A5FB2"/>
    <w:rsid w:val="5F0D24DB"/>
    <w:rsid w:val="5F2C10E5"/>
    <w:rsid w:val="5F415FE9"/>
    <w:rsid w:val="5F4172D7"/>
    <w:rsid w:val="5F5E20A5"/>
    <w:rsid w:val="5F5E2B2C"/>
    <w:rsid w:val="5F665AD6"/>
    <w:rsid w:val="5F707272"/>
    <w:rsid w:val="5F8F6046"/>
    <w:rsid w:val="5F935543"/>
    <w:rsid w:val="5FA81693"/>
    <w:rsid w:val="5FB81EBB"/>
    <w:rsid w:val="5FBA7098"/>
    <w:rsid w:val="5FC60FB8"/>
    <w:rsid w:val="5FC7489E"/>
    <w:rsid w:val="5FD16304"/>
    <w:rsid w:val="5FDC7F5A"/>
    <w:rsid w:val="5FDE420D"/>
    <w:rsid w:val="5FDF1892"/>
    <w:rsid w:val="5FDF6FE5"/>
    <w:rsid w:val="5FE2600A"/>
    <w:rsid w:val="5FEF2025"/>
    <w:rsid w:val="5FF31BDF"/>
    <w:rsid w:val="5FFB5461"/>
    <w:rsid w:val="60043165"/>
    <w:rsid w:val="60197570"/>
    <w:rsid w:val="60215D15"/>
    <w:rsid w:val="603E4922"/>
    <w:rsid w:val="605F5F48"/>
    <w:rsid w:val="60702738"/>
    <w:rsid w:val="60726BC5"/>
    <w:rsid w:val="60754781"/>
    <w:rsid w:val="6079326C"/>
    <w:rsid w:val="607E3F50"/>
    <w:rsid w:val="609131D8"/>
    <w:rsid w:val="60931860"/>
    <w:rsid w:val="60A811FC"/>
    <w:rsid w:val="60B927DA"/>
    <w:rsid w:val="60C914D6"/>
    <w:rsid w:val="60CB2CC5"/>
    <w:rsid w:val="60D904D7"/>
    <w:rsid w:val="60E8732A"/>
    <w:rsid w:val="60EC2F9A"/>
    <w:rsid w:val="60F17545"/>
    <w:rsid w:val="60F368EE"/>
    <w:rsid w:val="60FC5A69"/>
    <w:rsid w:val="61053CC8"/>
    <w:rsid w:val="611246B4"/>
    <w:rsid w:val="611A2B26"/>
    <w:rsid w:val="61260052"/>
    <w:rsid w:val="61266D4C"/>
    <w:rsid w:val="612B3E47"/>
    <w:rsid w:val="61353A2B"/>
    <w:rsid w:val="613C0D0B"/>
    <w:rsid w:val="61404038"/>
    <w:rsid w:val="61480E03"/>
    <w:rsid w:val="61486D60"/>
    <w:rsid w:val="616728CD"/>
    <w:rsid w:val="616C454E"/>
    <w:rsid w:val="616E3C96"/>
    <w:rsid w:val="617E0A2F"/>
    <w:rsid w:val="61893220"/>
    <w:rsid w:val="618B4D7F"/>
    <w:rsid w:val="618B52E0"/>
    <w:rsid w:val="619A45AD"/>
    <w:rsid w:val="61B42462"/>
    <w:rsid w:val="61BC10DD"/>
    <w:rsid w:val="61C33CAA"/>
    <w:rsid w:val="61C87A77"/>
    <w:rsid w:val="61CB0690"/>
    <w:rsid w:val="61D054C6"/>
    <w:rsid w:val="61F33752"/>
    <w:rsid w:val="61FE7E11"/>
    <w:rsid w:val="6206036D"/>
    <w:rsid w:val="6210507A"/>
    <w:rsid w:val="62290EED"/>
    <w:rsid w:val="622D2D6F"/>
    <w:rsid w:val="62380F5F"/>
    <w:rsid w:val="623A1BE4"/>
    <w:rsid w:val="62413E8B"/>
    <w:rsid w:val="62507133"/>
    <w:rsid w:val="626377C5"/>
    <w:rsid w:val="62870B5F"/>
    <w:rsid w:val="62875572"/>
    <w:rsid w:val="628764FA"/>
    <w:rsid w:val="628A6D4F"/>
    <w:rsid w:val="629008C9"/>
    <w:rsid w:val="62B6297D"/>
    <w:rsid w:val="62C01493"/>
    <w:rsid w:val="62C359B2"/>
    <w:rsid w:val="62C54A6D"/>
    <w:rsid w:val="62D13F93"/>
    <w:rsid w:val="62E85000"/>
    <w:rsid w:val="62FE218E"/>
    <w:rsid w:val="63092D09"/>
    <w:rsid w:val="630D1BD4"/>
    <w:rsid w:val="63113F11"/>
    <w:rsid w:val="63193414"/>
    <w:rsid w:val="631C7FB6"/>
    <w:rsid w:val="6331608B"/>
    <w:rsid w:val="63317789"/>
    <w:rsid w:val="63350F0E"/>
    <w:rsid w:val="633E5878"/>
    <w:rsid w:val="634C7993"/>
    <w:rsid w:val="63531AC3"/>
    <w:rsid w:val="635E615C"/>
    <w:rsid w:val="63751437"/>
    <w:rsid w:val="637C17D0"/>
    <w:rsid w:val="63807C9A"/>
    <w:rsid w:val="63896ED1"/>
    <w:rsid w:val="63935192"/>
    <w:rsid w:val="639B67E6"/>
    <w:rsid w:val="639F0CBB"/>
    <w:rsid w:val="63A17975"/>
    <w:rsid w:val="63A8261B"/>
    <w:rsid w:val="63AE18D5"/>
    <w:rsid w:val="63B24065"/>
    <w:rsid w:val="63BA3920"/>
    <w:rsid w:val="63C62E69"/>
    <w:rsid w:val="63C92D90"/>
    <w:rsid w:val="63CA73A6"/>
    <w:rsid w:val="63CD2764"/>
    <w:rsid w:val="63E304A7"/>
    <w:rsid w:val="63F839DE"/>
    <w:rsid w:val="640471BE"/>
    <w:rsid w:val="640C7B7F"/>
    <w:rsid w:val="6418785F"/>
    <w:rsid w:val="641E0903"/>
    <w:rsid w:val="64254EEE"/>
    <w:rsid w:val="64337822"/>
    <w:rsid w:val="64376D17"/>
    <w:rsid w:val="644D64D4"/>
    <w:rsid w:val="645128FE"/>
    <w:rsid w:val="645700A2"/>
    <w:rsid w:val="646336B2"/>
    <w:rsid w:val="646B31D6"/>
    <w:rsid w:val="64707037"/>
    <w:rsid w:val="647E7B83"/>
    <w:rsid w:val="64806019"/>
    <w:rsid w:val="648A0240"/>
    <w:rsid w:val="649341C5"/>
    <w:rsid w:val="64B13046"/>
    <w:rsid w:val="64B768EE"/>
    <w:rsid w:val="64C54270"/>
    <w:rsid w:val="64C60DBF"/>
    <w:rsid w:val="64C73D23"/>
    <w:rsid w:val="64CD2E25"/>
    <w:rsid w:val="64CD308E"/>
    <w:rsid w:val="64E069FF"/>
    <w:rsid w:val="64ED3EEE"/>
    <w:rsid w:val="650E4B3F"/>
    <w:rsid w:val="650F5FF5"/>
    <w:rsid w:val="65202E96"/>
    <w:rsid w:val="652604ED"/>
    <w:rsid w:val="65402F4D"/>
    <w:rsid w:val="656D76D9"/>
    <w:rsid w:val="65703E7C"/>
    <w:rsid w:val="65741714"/>
    <w:rsid w:val="657421F2"/>
    <w:rsid w:val="658C49DD"/>
    <w:rsid w:val="65980A74"/>
    <w:rsid w:val="65A33537"/>
    <w:rsid w:val="65BF0AC3"/>
    <w:rsid w:val="65CF2AFE"/>
    <w:rsid w:val="65D51F3F"/>
    <w:rsid w:val="65E53890"/>
    <w:rsid w:val="65EE0152"/>
    <w:rsid w:val="65F234DE"/>
    <w:rsid w:val="65FC37F6"/>
    <w:rsid w:val="660063D7"/>
    <w:rsid w:val="66137A2F"/>
    <w:rsid w:val="66255141"/>
    <w:rsid w:val="66282C66"/>
    <w:rsid w:val="662E1E60"/>
    <w:rsid w:val="66361B92"/>
    <w:rsid w:val="663D79D6"/>
    <w:rsid w:val="664016C7"/>
    <w:rsid w:val="66407605"/>
    <w:rsid w:val="66434A7B"/>
    <w:rsid w:val="664B566D"/>
    <w:rsid w:val="665521B6"/>
    <w:rsid w:val="66673C12"/>
    <w:rsid w:val="666A09BB"/>
    <w:rsid w:val="666D1FB7"/>
    <w:rsid w:val="66726F56"/>
    <w:rsid w:val="66797D71"/>
    <w:rsid w:val="6683654F"/>
    <w:rsid w:val="668466CD"/>
    <w:rsid w:val="66887D5D"/>
    <w:rsid w:val="66CE796D"/>
    <w:rsid w:val="66D773B2"/>
    <w:rsid w:val="66E300AF"/>
    <w:rsid w:val="66F42A19"/>
    <w:rsid w:val="670E1D93"/>
    <w:rsid w:val="67127C54"/>
    <w:rsid w:val="671A20D7"/>
    <w:rsid w:val="672806EA"/>
    <w:rsid w:val="672846DC"/>
    <w:rsid w:val="674C42B8"/>
    <w:rsid w:val="676A3D86"/>
    <w:rsid w:val="67725516"/>
    <w:rsid w:val="677F5301"/>
    <w:rsid w:val="6780198F"/>
    <w:rsid w:val="678C6D1A"/>
    <w:rsid w:val="67BD498A"/>
    <w:rsid w:val="67BF460A"/>
    <w:rsid w:val="67D14B71"/>
    <w:rsid w:val="67D26977"/>
    <w:rsid w:val="67FF3E52"/>
    <w:rsid w:val="68164EE6"/>
    <w:rsid w:val="682B230E"/>
    <w:rsid w:val="68421A9F"/>
    <w:rsid w:val="68515B12"/>
    <w:rsid w:val="685E3178"/>
    <w:rsid w:val="6860257D"/>
    <w:rsid w:val="686B0D94"/>
    <w:rsid w:val="68743134"/>
    <w:rsid w:val="689C52CA"/>
    <w:rsid w:val="68A41F9F"/>
    <w:rsid w:val="68A972FE"/>
    <w:rsid w:val="68BB5C45"/>
    <w:rsid w:val="68CE55CA"/>
    <w:rsid w:val="68E476EE"/>
    <w:rsid w:val="68F706AD"/>
    <w:rsid w:val="69082275"/>
    <w:rsid w:val="69091798"/>
    <w:rsid w:val="690D1263"/>
    <w:rsid w:val="690F3A55"/>
    <w:rsid w:val="691B6808"/>
    <w:rsid w:val="69297EE9"/>
    <w:rsid w:val="69377B13"/>
    <w:rsid w:val="693F78FF"/>
    <w:rsid w:val="6943265F"/>
    <w:rsid w:val="69576B6F"/>
    <w:rsid w:val="69720ACB"/>
    <w:rsid w:val="6975175F"/>
    <w:rsid w:val="697D322D"/>
    <w:rsid w:val="698824CC"/>
    <w:rsid w:val="69897534"/>
    <w:rsid w:val="69970EB6"/>
    <w:rsid w:val="699B2DAF"/>
    <w:rsid w:val="69A71D85"/>
    <w:rsid w:val="69A95672"/>
    <w:rsid w:val="69AE75FA"/>
    <w:rsid w:val="69B75258"/>
    <w:rsid w:val="69B94BF1"/>
    <w:rsid w:val="69CB4BB2"/>
    <w:rsid w:val="69CE3665"/>
    <w:rsid w:val="69DA14E9"/>
    <w:rsid w:val="69E12F7E"/>
    <w:rsid w:val="6A0128E5"/>
    <w:rsid w:val="6A0A1779"/>
    <w:rsid w:val="6A0E2C3C"/>
    <w:rsid w:val="6A1869D9"/>
    <w:rsid w:val="6A355C03"/>
    <w:rsid w:val="6A3809AE"/>
    <w:rsid w:val="6A403B92"/>
    <w:rsid w:val="6A461B48"/>
    <w:rsid w:val="6A4D23F6"/>
    <w:rsid w:val="6A4F7B13"/>
    <w:rsid w:val="6A5003BD"/>
    <w:rsid w:val="6A5943CF"/>
    <w:rsid w:val="6A5F52CE"/>
    <w:rsid w:val="6A695A88"/>
    <w:rsid w:val="6A6A1C51"/>
    <w:rsid w:val="6A940029"/>
    <w:rsid w:val="6AAA136A"/>
    <w:rsid w:val="6AAC2BBF"/>
    <w:rsid w:val="6AAC3FCA"/>
    <w:rsid w:val="6AAD48FC"/>
    <w:rsid w:val="6AC02C76"/>
    <w:rsid w:val="6AC21F2E"/>
    <w:rsid w:val="6AC46E34"/>
    <w:rsid w:val="6ACD6B27"/>
    <w:rsid w:val="6AD7297C"/>
    <w:rsid w:val="6AF2291C"/>
    <w:rsid w:val="6B0F0183"/>
    <w:rsid w:val="6B185BBE"/>
    <w:rsid w:val="6B245E6E"/>
    <w:rsid w:val="6B287FFD"/>
    <w:rsid w:val="6B2C248C"/>
    <w:rsid w:val="6B2C3BDB"/>
    <w:rsid w:val="6B375479"/>
    <w:rsid w:val="6B386352"/>
    <w:rsid w:val="6B3A488F"/>
    <w:rsid w:val="6B3E6302"/>
    <w:rsid w:val="6B4678CA"/>
    <w:rsid w:val="6B4B1197"/>
    <w:rsid w:val="6B52326E"/>
    <w:rsid w:val="6B5463C8"/>
    <w:rsid w:val="6B5D4F6F"/>
    <w:rsid w:val="6B705690"/>
    <w:rsid w:val="6B771731"/>
    <w:rsid w:val="6B8979DB"/>
    <w:rsid w:val="6B90655E"/>
    <w:rsid w:val="6B981D7D"/>
    <w:rsid w:val="6B9B380D"/>
    <w:rsid w:val="6B9E2B00"/>
    <w:rsid w:val="6BB078FB"/>
    <w:rsid w:val="6BBD0C94"/>
    <w:rsid w:val="6BC70648"/>
    <w:rsid w:val="6BD35B5E"/>
    <w:rsid w:val="6BD80A89"/>
    <w:rsid w:val="6BE34071"/>
    <w:rsid w:val="6BE81431"/>
    <w:rsid w:val="6BEC0E6B"/>
    <w:rsid w:val="6BF87B06"/>
    <w:rsid w:val="6C121630"/>
    <w:rsid w:val="6C267F34"/>
    <w:rsid w:val="6C366235"/>
    <w:rsid w:val="6C454B93"/>
    <w:rsid w:val="6C457F51"/>
    <w:rsid w:val="6C465676"/>
    <w:rsid w:val="6C4F1A4C"/>
    <w:rsid w:val="6C5876F5"/>
    <w:rsid w:val="6C631F2F"/>
    <w:rsid w:val="6C8745FC"/>
    <w:rsid w:val="6C880BB6"/>
    <w:rsid w:val="6C8C39C6"/>
    <w:rsid w:val="6C9808F8"/>
    <w:rsid w:val="6C9F10F4"/>
    <w:rsid w:val="6CC6721B"/>
    <w:rsid w:val="6CC6786D"/>
    <w:rsid w:val="6CC8248C"/>
    <w:rsid w:val="6CCA7BE6"/>
    <w:rsid w:val="6CE46426"/>
    <w:rsid w:val="6CE50596"/>
    <w:rsid w:val="6CE54CE1"/>
    <w:rsid w:val="6CE70CEC"/>
    <w:rsid w:val="6CFC4F3F"/>
    <w:rsid w:val="6D0B2EA5"/>
    <w:rsid w:val="6D133A05"/>
    <w:rsid w:val="6D156A9D"/>
    <w:rsid w:val="6D157773"/>
    <w:rsid w:val="6D1E616F"/>
    <w:rsid w:val="6D23011F"/>
    <w:rsid w:val="6D2469C7"/>
    <w:rsid w:val="6D2D39F5"/>
    <w:rsid w:val="6D3836EF"/>
    <w:rsid w:val="6D3A51FD"/>
    <w:rsid w:val="6D480142"/>
    <w:rsid w:val="6D564843"/>
    <w:rsid w:val="6D5C04DF"/>
    <w:rsid w:val="6D5D24B7"/>
    <w:rsid w:val="6D6E0DDB"/>
    <w:rsid w:val="6D70191A"/>
    <w:rsid w:val="6D75047D"/>
    <w:rsid w:val="6D803A47"/>
    <w:rsid w:val="6D865181"/>
    <w:rsid w:val="6D897989"/>
    <w:rsid w:val="6D8C76EF"/>
    <w:rsid w:val="6D9163C8"/>
    <w:rsid w:val="6D9F3389"/>
    <w:rsid w:val="6DAC6D15"/>
    <w:rsid w:val="6DB46E40"/>
    <w:rsid w:val="6DBC5074"/>
    <w:rsid w:val="6DCE1628"/>
    <w:rsid w:val="6E011A6C"/>
    <w:rsid w:val="6E180CC8"/>
    <w:rsid w:val="6E1C4C67"/>
    <w:rsid w:val="6E1D2124"/>
    <w:rsid w:val="6E2E1F48"/>
    <w:rsid w:val="6E35387C"/>
    <w:rsid w:val="6E38579E"/>
    <w:rsid w:val="6E4D27D4"/>
    <w:rsid w:val="6E505DF2"/>
    <w:rsid w:val="6E5C7A09"/>
    <w:rsid w:val="6E5E2362"/>
    <w:rsid w:val="6E713A0A"/>
    <w:rsid w:val="6E7E17EE"/>
    <w:rsid w:val="6E844EB8"/>
    <w:rsid w:val="6E926545"/>
    <w:rsid w:val="6E9A22B6"/>
    <w:rsid w:val="6EA4657F"/>
    <w:rsid w:val="6EAA172D"/>
    <w:rsid w:val="6EB50130"/>
    <w:rsid w:val="6EB87B4D"/>
    <w:rsid w:val="6EBC6EA2"/>
    <w:rsid w:val="6EC21EE1"/>
    <w:rsid w:val="6EC744C6"/>
    <w:rsid w:val="6EE8561E"/>
    <w:rsid w:val="6EEA19D1"/>
    <w:rsid w:val="6EF74724"/>
    <w:rsid w:val="6F0D4444"/>
    <w:rsid w:val="6F0E04C8"/>
    <w:rsid w:val="6F280668"/>
    <w:rsid w:val="6F2A2D88"/>
    <w:rsid w:val="6F3C0931"/>
    <w:rsid w:val="6F6625EE"/>
    <w:rsid w:val="6F772933"/>
    <w:rsid w:val="6F790FE0"/>
    <w:rsid w:val="6F7E52B8"/>
    <w:rsid w:val="6F9936C0"/>
    <w:rsid w:val="6F9B2CDE"/>
    <w:rsid w:val="6F9E4171"/>
    <w:rsid w:val="6F9E5189"/>
    <w:rsid w:val="6FA01E3C"/>
    <w:rsid w:val="6FAB31AD"/>
    <w:rsid w:val="6FAC5432"/>
    <w:rsid w:val="6FBA237F"/>
    <w:rsid w:val="6FC17AAA"/>
    <w:rsid w:val="6FD44BBE"/>
    <w:rsid w:val="6FE37F8F"/>
    <w:rsid w:val="6FE40864"/>
    <w:rsid w:val="6FF23681"/>
    <w:rsid w:val="70052009"/>
    <w:rsid w:val="700671F7"/>
    <w:rsid w:val="7008117C"/>
    <w:rsid w:val="700F5696"/>
    <w:rsid w:val="70131C82"/>
    <w:rsid w:val="703064DE"/>
    <w:rsid w:val="70396BFF"/>
    <w:rsid w:val="704C3D68"/>
    <w:rsid w:val="704D21E1"/>
    <w:rsid w:val="705E4FB7"/>
    <w:rsid w:val="70737641"/>
    <w:rsid w:val="707501A7"/>
    <w:rsid w:val="707C5C6F"/>
    <w:rsid w:val="70801ED5"/>
    <w:rsid w:val="70884C68"/>
    <w:rsid w:val="708A2B68"/>
    <w:rsid w:val="7098050A"/>
    <w:rsid w:val="709E1581"/>
    <w:rsid w:val="70A7123B"/>
    <w:rsid w:val="70B86086"/>
    <w:rsid w:val="70D21B9E"/>
    <w:rsid w:val="70D6448C"/>
    <w:rsid w:val="70D835DA"/>
    <w:rsid w:val="70E35D1A"/>
    <w:rsid w:val="70FB64AB"/>
    <w:rsid w:val="70FD4A85"/>
    <w:rsid w:val="71026CBE"/>
    <w:rsid w:val="71072A81"/>
    <w:rsid w:val="71121CDE"/>
    <w:rsid w:val="711A4603"/>
    <w:rsid w:val="712C03F2"/>
    <w:rsid w:val="713200C7"/>
    <w:rsid w:val="7132752F"/>
    <w:rsid w:val="713D0A23"/>
    <w:rsid w:val="715D0E9A"/>
    <w:rsid w:val="717A1CDE"/>
    <w:rsid w:val="718D2D4A"/>
    <w:rsid w:val="71984BD5"/>
    <w:rsid w:val="719E34B6"/>
    <w:rsid w:val="71A1582A"/>
    <w:rsid w:val="71A97BE0"/>
    <w:rsid w:val="71B060D8"/>
    <w:rsid w:val="71F05DF3"/>
    <w:rsid w:val="71F91334"/>
    <w:rsid w:val="71FC72C8"/>
    <w:rsid w:val="71FD28E9"/>
    <w:rsid w:val="720229FE"/>
    <w:rsid w:val="7204101C"/>
    <w:rsid w:val="72056E07"/>
    <w:rsid w:val="721000AB"/>
    <w:rsid w:val="72103639"/>
    <w:rsid w:val="721659F8"/>
    <w:rsid w:val="72437E86"/>
    <w:rsid w:val="725A49BB"/>
    <w:rsid w:val="72750F31"/>
    <w:rsid w:val="72780394"/>
    <w:rsid w:val="728A4028"/>
    <w:rsid w:val="7298394C"/>
    <w:rsid w:val="72A24CFF"/>
    <w:rsid w:val="72B62044"/>
    <w:rsid w:val="72C457C5"/>
    <w:rsid w:val="72C67D76"/>
    <w:rsid w:val="72CE5645"/>
    <w:rsid w:val="72D256CB"/>
    <w:rsid w:val="72E35371"/>
    <w:rsid w:val="72EB69D9"/>
    <w:rsid w:val="72ED429E"/>
    <w:rsid w:val="73022BBF"/>
    <w:rsid w:val="730C095E"/>
    <w:rsid w:val="73144768"/>
    <w:rsid w:val="731E0B3E"/>
    <w:rsid w:val="731E621D"/>
    <w:rsid w:val="733D2A29"/>
    <w:rsid w:val="734C75A3"/>
    <w:rsid w:val="736A31ED"/>
    <w:rsid w:val="73762CB1"/>
    <w:rsid w:val="73875FA3"/>
    <w:rsid w:val="739505FA"/>
    <w:rsid w:val="73A26F1B"/>
    <w:rsid w:val="73A51881"/>
    <w:rsid w:val="73AB609A"/>
    <w:rsid w:val="73B70B96"/>
    <w:rsid w:val="73C95A9B"/>
    <w:rsid w:val="73CC2130"/>
    <w:rsid w:val="73D00E6C"/>
    <w:rsid w:val="73D311F7"/>
    <w:rsid w:val="73F847B0"/>
    <w:rsid w:val="73F87559"/>
    <w:rsid w:val="74134D2F"/>
    <w:rsid w:val="741F1EA3"/>
    <w:rsid w:val="74296A61"/>
    <w:rsid w:val="74437156"/>
    <w:rsid w:val="744F6620"/>
    <w:rsid w:val="74565E3C"/>
    <w:rsid w:val="745E6C32"/>
    <w:rsid w:val="74647000"/>
    <w:rsid w:val="746F6FB8"/>
    <w:rsid w:val="747C6907"/>
    <w:rsid w:val="74816E9A"/>
    <w:rsid w:val="74A24379"/>
    <w:rsid w:val="74A5395B"/>
    <w:rsid w:val="74A56613"/>
    <w:rsid w:val="74A60B13"/>
    <w:rsid w:val="74B329FE"/>
    <w:rsid w:val="74B36528"/>
    <w:rsid w:val="74B60F8C"/>
    <w:rsid w:val="74CA6436"/>
    <w:rsid w:val="74D22D01"/>
    <w:rsid w:val="74D32C31"/>
    <w:rsid w:val="74E6534A"/>
    <w:rsid w:val="74EE1EA9"/>
    <w:rsid w:val="74F6167E"/>
    <w:rsid w:val="74F75304"/>
    <w:rsid w:val="74FA5B10"/>
    <w:rsid w:val="74FD4A5E"/>
    <w:rsid w:val="75031E40"/>
    <w:rsid w:val="751324FF"/>
    <w:rsid w:val="751719D2"/>
    <w:rsid w:val="75220771"/>
    <w:rsid w:val="75364484"/>
    <w:rsid w:val="7537120F"/>
    <w:rsid w:val="75393057"/>
    <w:rsid w:val="753A7E76"/>
    <w:rsid w:val="754165AF"/>
    <w:rsid w:val="75465EF4"/>
    <w:rsid w:val="755554FE"/>
    <w:rsid w:val="75682E2F"/>
    <w:rsid w:val="75684C89"/>
    <w:rsid w:val="75756FA9"/>
    <w:rsid w:val="757B2BC2"/>
    <w:rsid w:val="758A6E98"/>
    <w:rsid w:val="759A48ED"/>
    <w:rsid w:val="759B1F6A"/>
    <w:rsid w:val="75A23DA2"/>
    <w:rsid w:val="75AF18DA"/>
    <w:rsid w:val="75BC562E"/>
    <w:rsid w:val="75C16E02"/>
    <w:rsid w:val="75CA2292"/>
    <w:rsid w:val="75CA4CC8"/>
    <w:rsid w:val="75CA69D5"/>
    <w:rsid w:val="75DD2797"/>
    <w:rsid w:val="75E03502"/>
    <w:rsid w:val="75E20AF3"/>
    <w:rsid w:val="75E5271D"/>
    <w:rsid w:val="75EC77D5"/>
    <w:rsid w:val="75FF3D53"/>
    <w:rsid w:val="761A0562"/>
    <w:rsid w:val="76311113"/>
    <w:rsid w:val="763A49A8"/>
    <w:rsid w:val="76591677"/>
    <w:rsid w:val="76617651"/>
    <w:rsid w:val="76666CE9"/>
    <w:rsid w:val="766D50EE"/>
    <w:rsid w:val="766E5DDE"/>
    <w:rsid w:val="7672183B"/>
    <w:rsid w:val="76743D5D"/>
    <w:rsid w:val="7677530B"/>
    <w:rsid w:val="76793B3E"/>
    <w:rsid w:val="76800D96"/>
    <w:rsid w:val="768B5C17"/>
    <w:rsid w:val="768F4DBD"/>
    <w:rsid w:val="769675D5"/>
    <w:rsid w:val="76A06234"/>
    <w:rsid w:val="76A3048D"/>
    <w:rsid w:val="76C67183"/>
    <w:rsid w:val="76CC29DB"/>
    <w:rsid w:val="76E12B4F"/>
    <w:rsid w:val="76FA1C7F"/>
    <w:rsid w:val="770246DC"/>
    <w:rsid w:val="77051D53"/>
    <w:rsid w:val="77182EEB"/>
    <w:rsid w:val="771E02B7"/>
    <w:rsid w:val="77202EDF"/>
    <w:rsid w:val="7725564A"/>
    <w:rsid w:val="772851C5"/>
    <w:rsid w:val="772B6EDB"/>
    <w:rsid w:val="772F6E52"/>
    <w:rsid w:val="77523114"/>
    <w:rsid w:val="77742F91"/>
    <w:rsid w:val="777E5D34"/>
    <w:rsid w:val="779676CC"/>
    <w:rsid w:val="779725BD"/>
    <w:rsid w:val="779A323D"/>
    <w:rsid w:val="779B5116"/>
    <w:rsid w:val="779F5C16"/>
    <w:rsid w:val="77A33C05"/>
    <w:rsid w:val="77A8793E"/>
    <w:rsid w:val="77AA1C3C"/>
    <w:rsid w:val="77D473EF"/>
    <w:rsid w:val="77D95A5D"/>
    <w:rsid w:val="77DB5203"/>
    <w:rsid w:val="77DD117C"/>
    <w:rsid w:val="77E16839"/>
    <w:rsid w:val="77E23D77"/>
    <w:rsid w:val="77EF23EC"/>
    <w:rsid w:val="77EF6C1F"/>
    <w:rsid w:val="77FE2FCA"/>
    <w:rsid w:val="781350F4"/>
    <w:rsid w:val="781528CC"/>
    <w:rsid w:val="783263B6"/>
    <w:rsid w:val="78347D4F"/>
    <w:rsid w:val="784F6D98"/>
    <w:rsid w:val="785E1021"/>
    <w:rsid w:val="78626B68"/>
    <w:rsid w:val="78761B03"/>
    <w:rsid w:val="78844816"/>
    <w:rsid w:val="78883FF3"/>
    <w:rsid w:val="78AA1B55"/>
    <w:rsid w:val="78BE788C"/>
    <w:rsid w:val="78C80B13"/>
    <w:rsid w:val="78CB127A"/>
    <w:rsid w:val="78ED0853"/>
    <w:rsid w:val="78F44184"/>
    <w:rsid w:val="790A4E87"/>
    <w:rsid w:val="791334FC"/>
    <w:rsid w:val="79217D64"/>
    <w:rsid w:val="79255391"/>
    <w:rsid w:val="79515CF6"/>
    <w:rsid w:val="79664BC2"/>
    <w:rsid w:val="796733DA"/>
    <w:rsid w:val="796D3EDA"/>
    <w:rsid w:val="798B26BD"/>
    <w:rsid w:val="79A55325"/>
    <w:rsid w:val="79B31B8F"/>
    <w:rsid w:val="79B3230F"/>
    <w:rsid w:val="79C17843"/>
    <w:rsid w:val="79DE5F1C"/>
    <w:rsid w:val="7A03425E"/>
    <w:rsid w:val="7A097E26"/>
    <w:rsid w:val="7A0C08CC"/>
    <w:rsid w:val="7A0C5FFD"/>
    <w:rsid w:val="7A1C2F3B"/>
    <w:rsid w:val="7A1C4C69"/>
    <w:rsid w:val="7A1E695B"/>
    <w:rsid w:val="7A3E2394"/>
    <w:rsid w:val="7A464194"/>
    <w:rsid w:val="7A481A4A"/>
    <w:rsid w:val="7A49598E"/>
    <w:rsid w:val="7A497F95"/>
    <w:rsid w:val="7A563922"/>
    <w:rsid w:val="7A797176"/>
    <w:rsid w:val="7A8A388F"/>
    <w:rsid w:val="7A907392"/>
    <w:rsid w:val="7A9F3AB5"/>
    <w:rsid w:val="7AA02113"/>
    <w:rsid w:val="7AA139D6"/>
    <w:rsid w:val="7AA20D8C"/>
    <w:rsid w:val="7AB11FDC"/>
    <w:rsid w:val="7AB20098"/>
    <w:rsid w:val="7AB2101B"/>
    <w:rsid w:val="7AB55758"/>
    <w:rsid w:val="7AC0544D"/>
    <w:rsid w:val="7AD50C3E"/>
    <w:rsid w:val="7ADD1280"/>
    <w:rsid w:val="7AF200E9"/>
    <w:rsid w:val="7AF82687"/>
    <w:rsid w:val="7B01303E"/>
    <w:rsid w:val="7B0B23E7"/>
    <w:rsid w:val="7B164183"/>
    <w:rsid w:val="7B245E53"/>
    <w:rsid w:val="7B28181B"/>
    <w:rsid w:val="7B2B28A1"/>
    <w:rsid w:val="7B336046"/>
    <w:rsid w:val="7B3750E6"/>
    <w:rsid w:val="7B37559F"/>
    <w:rsid w:val="7B3B11E3"/>
    <w:rsid w:val="7B3C01C3"/>
    <w:rsid w:val="7B430CF1"/>
    <w:rsid w:val="7B4B15D2"/>
    <w:rsid w:val="7B5F3BC5"/>
    <w:rsid w:val="7B6039C4"/>
    <w:rsid w:val="7B6062BD"/>
    <w:rsid w:val="7B671E21"/>
    <w:rsid w:val="7B6C290D"/>
    <w:rsid w:val="7B6F0506"/>
    <w:rsid w:val="7B725B1B"/>
    <w:rsid w:val="7B733952"/>
    <w:rsid w:val="7B752A3A"/>
    <w:rsid w:val="7B797D47"/>
    <w:rsid w:val="7B7C4A5F"/>
    <w:rsid w:val="7B7E31A8"/>
    <w:rsid w:val="7B9C3953"/>
    <w:rsid w:val="7B9D2AF7"/>
    <w:rsid w:val="7BBD04F8"/>
    <w:rsid w:val="7BBD4513"/>
    <w:rsid w:val="7BD70D49"/>
    <w:rsid w:val="7BDB3AD3"/>
    <w:rsid w:val="7BDC4A69"/>
    <w:rsid w:val="7BDE24F7"/>
    <w:rsid w:val="7C067965"/>
    <w:rsid w:val="7C0A4925"/>
    <w:rsid w:val="7C144E06"/>
    <w:rsid w:val="7C28430B"/>
    <w:rsid w:val="7C3D6F75"/>
    <w:rsid w:val="7C44390A"/>
    <w:rsid w:val="7C514E7A"/>
    <w:rsid w:val="7C582CB5"/>
    <w:rsid w:val="7C5F52CD"/>
    <w:rsid w:val="7C6D6A13"/>
    <w:rsid w:val="7C8D472F"/>
    <w:rsid w:val="7C8D6F04"/>
    <w:rsid w:val="7C9537CE"/>
    <w:rsid w:val="7CA11328"/>
    <w:rsid w:val="7CA46124"/>
    <w:rsid w:val="7CA878ED"/>
    <w:rsid w:val="7CAC3B6A"/>
    <w:rsid w:val="7CB333F4"/>
    <w:rsid w:val="7CB57A50"/>
    <w:rsid w:val="7CCD169D"/>
    <w:rsid w:val="7CCE0EDB"/>
    <w:rsid w:val="7CE152D5"/>
    <w:rsid w:val="7CEF40BE"/>
    <w:rsid w:val="7CF12E81"/>
    <w:rsid w:val="7D056BA5"/>
    <w:rsid w:val="7D081F1E"/>
    <w:rsid w:val="7D083310"/>
    <w:rsid w:val="7D097D0B"/>
    <w:rsid w:val="7D144163"/>
    <w:rsid w:val="7D1764B2"/>
    <w:rsid w:val="7D1A2E3B"/>
    <w:rsid w:val="7D234965"/>
    <w:rsid w:val="7D277E33"/>
    <w:rsid w:val="7D306F35"/>
    <w:rsid w:val="7D327D38"/>
    <w:rsid w:val="7D3302EC"/>
    <w:rsid w:val="7D3E3896"/>
    <w:rsid w:val="7D402435"/>
    <w:rsid w:val="7D502152"/>
    <w:rsid w:val="7D5C4110"/>
    <w:rsid w:val="7D717D97"/>
    <w:rsid w:val="7D770178"/>
    <w:rsid w:val="7D7C43ED"/>
    <w:rsid w:val="7D7E7CE8"/>
    <w:rsid w:val="7D7F20D4"/>
    <w:rsid w:val="7D7F6672"/>
    <w:rsid w:val="7D865B66"/>
    <w:rsid w:val="7D89410A"/>
    <w:rsid w:val="7D8A0E82"/>
    <w:rsid w:val="7D952E51"/>
    <w:rsid w:val="7DE53E77"/>
    <w:rsid w:val="7DEE6C7E"/>
    <w:rsid w:val="7E0B115E"/>
    <w:rsid w:val="7E246B39"/>
    <w:rsid w:val="7E2C4314"/>
    <w:rsid w:val="7E2E1C89"/>
    <w:rsid w:val="7E2E44F9"/>
    <w:rsid w:val="7E335939"/>
    <w:rsid w:val="7E3474EC"/>
    <w:rsid w:val="7E372CDE"/>
    <w:rsid w:val="7E574D97"/>
    <w:rsid w:val="7E5F15F9"/>
    <w:rsid w:val="7E611F77"/>
    <w:rsid w:val="7E6C0262"/>
    <w:rsid w:val="7E6E3351"/>
    <w:rsid w:val="7E831559"/>
    <w:rsid w:val="7E884858"/>
    <w:rsid w:val="7E8D7EFE"/>
    <w:rsid w:val="7EB608E4"/>
    <w:rsid w:val="7EBE1DD7"/>
    <w:rsid w:val="7ED5157D"/>
    <w:rsid w:val="7EDC390B"/>
    <w:rsid w:val="7EE06E95"/>
    <w:rsid w:val="7EF119BB"/>
    <w:rsid w:val="7EF84005"/>
    <w:rsid w:val="7F130099"/>
    <w:rsid w:val="7F193E3B"/>
    <w:rsid w:val="7F26415A"/>
    <w:rsid w:val="7F282015"/>
    <w:rsid w:val="7F312B0B"/>
    <w:rsid w:val="7F3B51BC"/>
    <w:rsid w:val="7F4F448E"/>
    <w:rsid w:val="7F502348"/>
    <w:rsid w:val="7F6B07E0"/>
    <w:rsid w:val="7F752E24"/>
    <w:rsid w:val="7F7547A8"/>
    <w:rsid w:val="7F7B4D87"/>
    <w:rsid w:val="7F7D6EC7"/>
    <w:rsid w:val="7F844E36"/>
    <w:rsid w:val="7F8E2603"/>
    <w:rsid w:val="7F8E522C"/>
    <w:rsid w:val="7F9D3BAA"/>
    <w:rsid w:val="7FBA33A6"/>
    <w:rsid w:val="7FBE20E4"/>
    <w:rsid w:val="7FC753B5"/>
    <w:rsid w:val="7FCB3B93"/>
    <w:rsid w:val="7FCE3D4D"/>
    <w:rsid w:val="7FD05FA8"/>
    <w:rsid w:val="7FF410E5"/>
    <w:rsid w:val="7FF8239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uiPriority="0" w:name="envelope address"/>
    <w:lsdException w:uiPriority="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qFormat="1" w:unhideWhenUsed="0" w:uiPriority="0" w:semiHidden="0" w:name="toa heading"/>
    <w:lsdException w:uiPriority="0" w:name="List"/>
    <w:lsdException w:qFormat="1"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qFormat="1" w:uiPriority="99" w:semiHidden="0" w:name="List 5"/>
    <w:lsdException w:qFormat="1" w:unhideWhenUsed="0" w:uiPriority="0" w:semiHidden="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0" w:semiHidden="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77"/>
    <w:qFormat/>
    <w:uiPriority w:val="0"/>
    <w:pPr>
      <w:keepNext/>
      <w:keepLines/>
      <w:spacing w:before="120" w:after="120" w:line="360" w:lineRule="auto"/>
      <w:outlineLvl w:val="0"/>
    </w:pPr>
    <w:rPr>
      <w:rFonts w:ascii="宋体" w:hAnsi="宋体"/>
      <w:color w:val="000000"/>
      <w:kern w:val="44"/>
      <w:sz w:val="28"/>
      <w:szCs w:val="28"/>
    </w:rPr>
  </w:style>
  <w:style w:type="paragraph" w:styleId="4">
    <w:name w:val="heading 2"/>
    <w:basedOn w:val="1"/>
    <w:next w:val="5"/>
    <w:link w:val="79"/>
    <w:qFormat/>
    <w:uiPriority w:val="0"/>
    <w:pPr>
      <w:keepNext/>
      <w:keepLines/>
      <w:spacing w:before="240" w:after="120" w:line="360" w:lineRule="auto"/>
      <w:ind w:left="454" w:hanging="454"/>
      <w:jc w:val="center"/>
      <w:outlineLvl w:val="1"/>
    </w:pPr>
    <w:rPr>
      <w:rFonts w:ascii="Arial" w:hAnsi="Arial"/>
      <w:b/>
      <w:color w:val="000000"/>
      <w:sz w:val="24"/>
      <w:szCs w:val="24"/>
    </w:rPr>
  </w:style>
  <w:style w:type="paragraph" w:styleId="6">
    <w:name w:val="heading 3"/>
    <w:basedOn w:val="1"/>
    <w:next w:val="7"/>
    <w:link w:val="80"/>
    <w:qFormat/>
    <w:uiPriority w:val="0"/>
    <w:pPr>
      <w:keepNext/>
      <w:keepLines/>
      <w:spacing w:before="260" w:after="260" w:line="413" w:lineRule="auto"/>
      <w:outlineLvl w:val="2"/>
    </w:pPr>
    <w:rPr>
      <w:b/>
      <w:bCs/>
      <w:sz w:val="32"/>
      <w:szCs w:val="32"/>
    </w:rPr>
  </w:style>
  <w:style w:type="paragraph" w:styleId="8">
    <w:name w:val="heading 4"/>
    <w:basedOn w:val="1"/>
    <w:next w:val="1"/>
    <w:link w:val="81"/>
    <w:qFormat/>
    <w:uiPriority w:val="0"/>
    <w:pPr>
      <w:spacing w:beforeLines="50" w:afterLines="50" w:line="360" w:lineRule="auto"/>
      <w:ind w:left="284" w:hanging="284"/>
      <w:jc w:val="center"/>
      <w:outlineLvl w:val="3"/>
    </w:pPr>
    <w:rPr>
      <w:rFonts w:ascii="Arial" w:hAnsi="Arial"/>
      <w:color w:val="000000"/>
      <w:sz w:val="24"/>
      <w:szCs w:val="24"/>
    </w:rPr>
  </w:style>
  <w:style w:type="paragraph" w:styleId="9">
    <w:name w:val="heading 5"/>
    <w:basedOn w:val="1"/>
    <w:next w:val="1"/>
    <w:link w:val="82"/>
    <w:qFormat/>
    <w:uiPriority w:val="0"/>
    <w:pPr>
      <w:spacing w:line="240" w:lineRule="exact"/>
      <w:outlineLvl w:val="4"/>
    </w:pPr>
  </w:style>
  <w:style w:type="paragraph" w:styleId="10">
    <w:name w:val="heading 6"/>
    <w:basedOn w:val="1"/>
    <w:next w:val="1"/>
    <w:link w:val="83"/>
    <w:qFormat/>
    <w:uiPriority w:val="0"/>
    <w:pPr>
      <w:keepNext/>
      <w:keepLines/>
      <w:spacing w:before="240" w:after="64" w:line="317" w:lineRule="auto"/>
      <w:outlineLvl w:val="5"/>
    </w:pPr>
    <w:rPr>
      <w:rFonts w:ascii="Arial" w:hAnsi="Arial" w:eastAsia="黑体"/>
      <w:b/>
      <w:bCs/>
      <w:sz w:val="24"/>
      <w:szCs w:val="24"/>
    </w:rPr>
  </w:style>
  <w:style w:type="paragraph" w:styleId="11">
    <w:name w:val="heading 7"/>
    <w:basedOn w:val="1"/>
    <w:next w:val="1"/>
    <w:link w:val="84"/>
    <w:qFormat/>
    <w:uiPriority w:val="0"/>
    <w:pPr>
      <w:keepNext/>
      <w:keepLines/>
      <w:spacing w:before="240" w:after="64" w:line="317" w:lineRule="auto"/>
      <w:outlineLvl w:val="6"/>
    </w:pPr>
    <w:rPr>
      <w:b/>
      <w:sz w:val="24"/>
    </w:rPr>
  </w:style>
  <w:style w:type="paragraph" w:styleId="12">
    <w:name w:val="heading 8"/>
    <w:basedOn w:val="1"/>
    <w:next w:val="5"/>
    <w:link w:val="85"/>
    <w:qFormat/>
    <w:uiPriority w:val="0"/>
    <w:pPr>
      <w:keepNext/>
      <w:keepLines/>
      <w:spacing w:before="240" w:after="64" w:line="317" w:lineRule="auto"/>
      <w:outlineLvl w:val="7"/>
    </w:pPr>
    <w:rPr>
      <w:rFonts w:ascii="Arial" w:hAnsi="Arial" w:eastAsia="黑体"/>
      <w:sz w:val="24"/>
    </w:rPr>
  </w:style>
  <w:style w:type="paragraph" w:styleId="13">
    <w:name w:val="heading 9"/>
    <w:basedOn w:val="1"/>
    <w:next w:val="5"/>
    <w:link w:val="86"/>
    <w:qFormat/>
    <w:uiPriority w:val="0"/>
    <w:pPr>
      <w:keepNext/>
      <w:keepLines/>
      <w:spacing w:before="240" w:after="64" w:line="317" w:lineRule="auto"/>
      <w:outlineLvl w:val="8"/>
    </w:pPr>
    <w:rPr>
      <w:rFonts w:ascii="Arial" w:hAnsi="Arial" w:eastAsia="黑体"/>
    </w:rPr>
  </w:style>
  <w:style w:type="character" w:default="1" w:styleId="64">
    <w:name w:val="Default Paragraph Font"/>
    <w:semiHidden/>
    <w:unhideWhenUsed/>
    <w:qFormat/>
    <w:uiPriority w:val="1"/>
  </w:style>
  <w:style w:type="table" w:default="1" w:styleId="62">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6"/>
    <w:qFormat/>
    <w:uiPriority w:val="99"/>
    <w:rPr>
      <w:sz w:val="18"/>
      <w:szCs w:val="18"/>
    </w:rPr>
  </w:style>
  <w:style w:type="paragraph" w:styleId="5">
    <w:name w:val="Normal Indent"/>
    <w:basedOn w:val="1"/>
    <w:link w:val="78"/>
    <w:qFormat/>
    <w:uiPriority w:val="0"/>
    <w:pPr>
      <w:ind w:firstLine="420" w:firstLineChars="200"/>
    </w:pPr>
  </w:style>
  <w:style w:type="paragraph" w:customStyle="1" w:styleId="7">
    <w:name w:val="正文缩进1"/>
    <w:basedOn w:val="1"/>
    <w:qFormat/>
    <w:uiPriority w:val="0"/>
    <w:pPr>
      <w:ind w:firstLine="420"/>
    </w:pPr>
  </w:style>
  <w:style w:type="paragraph" w:styleId="14">
    <w:name w:val="List 3"/>
    <w:basedOn w:val="1"/>
    <w:qFormat/>
    <w:uiPriority w:val="0"/>
    <w:pPr>
      <w:adjustRightInd w:val="0"/>
      <w:ind w:left="100" w:leftChars="400" w:hanging="200" w:hangingChars="200"/>
      <w:jc w:val="left"/>
      <w:textAlignment w:val="baseline"/>
    </w:pPr>
    <w:rPr>
      <w:rFonts w:ascii="MingLiU" w:eastAsia="MingLiU"/>
      <w:kern w:val="0"/>
      <w:sz w:val="20"/>
      <w:lang w:eastAsia="zh-TW"/>
    </w:rPr>
  </w:style>
  <w:style w:type="paragraph" w:styleId="15">
    <w:name w:val="toc 7"/>
    <w:basedOn w:val="1"/>
    <w:next w:val="1"/>
    <w:qFormat/>
    <w:uiPriority w:val="39"/>
    <w:pPr>
      <w:ind w:left="1260"/>
      <w:jc w:val="left"/>
    </w:pPr>
    <w:rPr>
      <w:sz w:val="18"/>
      <w:szCs w:val="18"/>
    </w:rPr>
  </w:style>
  <w:style w:type="paragraph" w:styleId="16">
    <w:name w:val="caption"/>
    <w:basedOn w:val="1"/>
    <w:next w:val="1"/>
    <w:qFormat/>
    <w:uiPriority w:val="0"/>
    <w:pPr>
      <w:widowControl/>
      <w:spacing w:line="240" w:lineRule="atLeast"/>
      <w:jc w:val="left"/>
    </w:pPr>
    <w:rPr>
      <w:rFonts w:ascii="Cambria" w:hAnsi="Cambria" w:eastAsia="黑体"/>
      <w:sz w:val="20"/>
    </w:rPr>
  </w:style>
  <w:style w:type="paragraph" w:styleId="17">
    <w:name w:val="index 5"/>
    <w:basedOn w:val="1"/>
    <w:next w:val="1"/>
    <w:qFormat/>
    <w:uiPriority w:val="0"/>
    <w:pPr>
      <w:autoSpaceDE w:val="0"/>
      <w:autoSpaceDN w:val="0"/>
      <w:adjustRightInd w:val="0"/>
      <w:ind w:left="1915"/>
      <w:jc w:val="left"/>
    </w:pPr>
    <w:rPr>
      <w:rFonts w:ascii="MingLiU" w:eastAsia="MingLiU"/>
      <w:spacing w:val="60"/>
      <w:kern w:val="0"/>
      <w:sz w:val="22"/>
      <w:lang w:eastAsia="zh-TW"/>
    </w:rPr>
  </w:style>
  <w:style w:type="paragraph" w:styleId="18">
    <w:name w:val="List Bullet"/>
    <w:basedOn w:val="1"/>
    <w:qFormat/>
    <w:uiPriority w:val="0"/>
    <w:pPr>
      <w:tabs>
        <w:tab w:val="left" w:pos="360"/>
      </w:tabs>
      <w:ind w:left="360" w:hanging="360" w:hangingChars="200"/>
    </w:pPr>
    <w:rPr>
      <w:szCs w:val="24"/>
    </w:rPr>
  </w:style>
  <w:style w:type="paragraph" w:styleId="19">
    <w:name w:val="Document Map"/>
    <w:basedOn w:val="1"/>
    <w:link w:val="87"/>
    <w:qFormat/>
    <w:uiPriority w:val="0"/>
    <w:pPr>
      <w:shd w:val="clear" w:color="auto" w:fill="000080"/>
    </w:pPr>
  </w:style>
  <w:style w:type="paragraph" w:styleId="20">
    <w:name w:val="toa heading"/>
    <w:basedOn w:val="1"/>
    <w:next w:val="1"/>
    <w:qFormat/>
    <w:uiPriority w:val="0"/>
    <w:pPr>
      <w:spacing w:before="120"/>
    </w:pPr>
    <w:rPr>
      <w:rFonts w:ascii="Arial" w:hAnsi="Arial" w:cs="Arial"/>
      <w:sz w:val="24"/>
      <w:szCs w:val="24"/>
    </w:rPr>
  </w:style>
  <w:style w:type="paragraph" w:styleId="21">
    <w:name w:val="annotation text"/>
    <w:basedOn w:val="1"/>
    <w:link w:val="88"/>
    <w:qFormat/>
    <w:uiPriority w:val="99"/>
    <w:pPr>
      <w:jc w:val="left"/>
    </w:pPr>
  </w:style>
  <w:style w:type="paragraph" w:styleId="22">
    <w:name w:val="index 6"/>
    <w:basedOn w:val="1"/>
    <w:next w:val="1"/>
    <w:qFormat/>
    <w:uiPriority w:val="0"/>
    <w:pPr>
      <w:autoSpaceDE w:val="0"/>
      <w:autoSpaceDN w:val="0"/>
      <w:adjustRightInd w:val="0"/>
      <w:ind w:left="2405"/>
      <w:jc w:val="left"/>
    </w:pPr>
    <w:rPr>
      <w:rFonts w:ascii="MingLiU" w:eastAsia="MingLiU"/>
      <w:spacing w:val="60"/>
      <w:kern w:val="0"/>
      <w:sz w:val="22"/>
      <w:lang w:eastAsia="zh-TW"/>
    </w:rPr>
  </w:style>
  <w:style w:type="paragraph" w:styleId="23">
    <w:name w:val="Salutation"/>
    <w:basedOn w:val="1"/>
    <w:next w:val="1"/>
    <w:link w:val="89"/>
    <w:qFormat/>
    <w:uiPriority w:val="0"/>
    <w:pPr>
      <w:widowControl/>
      <w:spacing w:line="240" w:lineRule="atLeast"/>
      <w:jc w:val="left"/>
    </w:pPr>
    <w:rPr>
      <w:szCs w:val="24"/>
    </w:rPr>
  </w:style>
  <w:style w:type="paragraph" w:styleId="24">
    <w:name w:val="Body Text 3"/>
    <w:basedOn w:val="1"/>
    <w:link w:val="90"/>
    <w:qFormat/>
    <w:uiPriority w:val="0"/>
    <w:pPr>
      <w:adjustRightInd w:val="0"/>
      <w:spacing w:after="120"/>
      <w:jc w:val="left"/>
      <w:textAlignment w:val="baseline"/>
    </w:pPr>
    <w:rPr>
      <w:rFonts w:ascii="MingLiU" w:eastAsia="MingLiU"/>
      <w:kern w:val="0"/>
      <w:sz w:val="16"/>
      <w:szCs w:val="16"/>
      <w:lang w:eastAsia="zh-TW"/>
    </w:rPr>
  </w:style>
  <w:style w:type="paragraph" w:styleId="25">
    <w:name w:val="Body Text"/>
    <w:basedOn w:val="1"/>
    <w:link w:val="75"/>
    <w:qFormat/>
    <w:uiPriority w:val="0"/>
    <w:pPr>
      <w:spacing w:after="120"/>
    </w:pPr>
  </w:style>
  <w:style w:type="paragraph" w:styleId="26">
    <w:name w:val="Body Text Indent"/>
    <w:basedOn w:val="1"/>
    <w:link w:val="91"/>
    <w:qFormat/>
    <w:uiPriority w:val="0"/>
    <w:pPr>
      <w:ind w:firstLine="570"/>
    </w:pPr>
    <w:rPr>
      <w:sz w:val="28"/>
    </w:rPr>
  </w:style>
  <w:style w:type="paragraph" w:styleId="27">
    <w:name w:val="List 2"/>
    <w:basedOn w:val="1"/>
    <w:qFormat/>
    <w:uiPriority w:val="0"/>
    <w:pPr>
      <w:adjustRightInd w:val="0"/>
      <w:ind w:left="100" w:leftChars="200" w:hanging="200" w:hangingChars="200"/>
      <w:jc w:val="left"/>
      <w:textAlignment w:val="baseline"/>
    </w:pPr>
    <w:rPr>
      <w:rFonts w:ascii="MingLiU" w:eastAsia="MingLiU"/>
      <w:kern w:val="0"/>
      <w:sz w:val="20"/>
      <w:lang w:eastAsia="zh-TW"/>
    </w:rPr>
  </w:style>
  <w:style w:type="paragraph" w:styleId="28">
    <w:name w:val="Block Text"/>
    <w:basedOn w:val="1"/>
    <w:qFormat/>
    <w:uiPriority w:val="0"/>
    <w:pPr>
      <w:adjustRightInd w:val="0"/>
      <w:ind w:left="420" w:right="33"/>
      <w:jc w:val="left"/>
      <w:textAlignment w:val="baseline"/>
    </w:pPr>
    <w:rPr>
      <w:kern w:val="0"/>
      <w:sz w:val="24"/>
    </w:rPr>
  </w:style>
  <w:style w:type="paragraph" w:styleId="29">
    <w:name w:val="List Bullet 2"/>
    <w:basedOn w:val="18"/>
    <w:qFormat/>
    <w:uiPriority w:val="0"/>
    <w:pPr>
      <w:widowControl/>
      <w:spacing w:after="220" w:line="220" w:lineRule="atLeast"/>
      <w:ind w:left="2160" w:right="720" w:hanging="279" w:firstLineChars="0"/>
      <w:jc w:val="left"/>
    </w:pPr>
    <w:rPr>
      <w:kern w:val="0"/>
      <w:szCs w:val="20"/>
    </w:rPr>
  </w:style>
  <w:style w:type="paragraph" w:styleId="30">
    <w:name w:val="index 4"/>
    <w:basedOn w:val="1"/>
    <w:next w:val="1"/>
    <w:qFormat/>
    <w:uiPriority w:val="0"/>
    <w:pPr>
      <w:autoSpaceDE w:val="0"/>
      <w:autoSpaceDN w:val="0"/>
      <w:adjustRightInd w:val="0"/>
      <w:ind w:left="1440"/>
      <w:jc w:val="left"/>
    </w:pPr>
    <w:rPr>
      <w:rFonts w:ascii="MingLiU" w:eastAsia="MingLiU"/>
      <w:spacing w:val="60"/>
      <w:kern w:val="0"/>
      <w:sz w:val="22"/>
      <w:lang w:eastAsia="zh-TW"/>
    </w:rPr>
  </w:style>
  <w:style w:type="paragraph" w:styleId="31">
    <w:name w:val="toc 5"/>
    <w:basedOn w:val="1"/>
    <w:next w:val="1"/>
    <w:qFormat/>
    <w:uiPriority w:val="39"/>
    <w:pPr>
      <w:ind w:left="840"/>
      <w:jc w:val="left"/>
    </w:pPr>
    <w:rPr>
      <w:sz w:val="18"/>
      <w:szCs w:val="18"/>
    </w:rPr>
  </w:style>
  <w:style w:type="paragraph" w:styleId="32">
    <w:name w:val="toc 3"/>
    <w:basedOn w:val="1"/>
    <w:next w:val="1"/>
    <w:qFormat/>
    <w:uiPriority w:val="39"/>
    <w:pPr>
      <w:ind w:left="420"/>
      <w:jc w:val="left"/>
    </w:pPr>
    <w:rPr>
      <w:i/>
      <w:iCs/>
      <w:sz w:val="20"/>
    </w:rPr>
  </w:style>
  <w:style w:type="paragraph" w:styleId="33">
    <w:name w:val="Plain Text"/>
    <w:basedOn w:val="1"/>
    <w:link w:val="92"/>
    <w:qFormat/>
    <w:uiPriority w:val="0"/>
    <w:rPr>
      <w:rFonts w:ascii="宋体" w:hAnsi="Courier New"/>
    </w:rPr>
  </w:style>
  <w:style w:type="paragraph" w:styleId="34">
    <w:name w:val="toc 8"/>
    <w:basedOn w:val="1"/>
    <w:next w:val="1"/>
    <w:qFormat/>
    <w:uiPriority w:val="39"/>
    <w:pPr>
      <w:ind w:left="1470"/>
      <w:jc w:val="left"/>
    </w:pPr>
    <w:rPr>
      <w:sz w:val="18"/>
      <w:szCs w:val="18"/>
    </w:rPr>
  </w:style>
  <w:style w:type="paragraph" w:styleId="35">
    <w:name w:val="index 3"/>
    <w:basedOn w:val="1"/>
    <w:next w:val="1"/>
    <w:qFormat/>
    <w:uiPriority w:val="0"/>
    <w:pPr>
      <w:autoSpaceDE w:val="0"/>
      <w:autoSpaceDN w:val="0"/>
      <w:adjustRightInd w:val="0"/>
      <w:ind w:left="965"/>
      <w:jc w:val="left"/>
    </w:pPr>
    <w:rPr>
      <w:rFonts w:ascii="MingLiU" w:eastAsia="MingLiU"/>
      <w:spacing w:val="60"/>
      <w:kern w:val="0"/>
      <w:sz w:val="22"/>
      <w:lang w:eastAsia="zh-TW"/>
    </w:rPr>
  </w:style>
  <w:style w:type="paragraph" w:styleId="36">
    <w:name w:val="Date"/>
    <w:basedOn w:val="1"/>
    <w:next w:val="1"/>
    <w:link w:val="93"/>
    <w:qFormat/>
    <w:uiPriority w:val="0"/>
  </w:style>
  <w:style w:type="paragraph" w:styleId="37">
    <w:name w:val="Body Text Indent 2"/>
    <w:basedOn w:val="1"/>
    <w:link w:val="94"/>
    <w:qFormat/>
    <w:uiPriority w:val="0"/>
    <w:pPr>
      <w:spacing w:line="400" w:lineRule="exact"/>
      <w:ind w:left="425"/>
    </w:pPr>
    <w:rPr>
      <w:color w:val="000000"/>
      <w:sz w:val="24"/>
    </w:rPr>
  </w:style>
  <w:style w:type="paragraph" w:styleId="38">
    <w:name w:val="endnote text"/>
    <w:basedOn w:val="1"/>
    <w:link w:val="95"/>
    <w:qFormat/>
    <w:uiPriority w:val="0"/>
    <w:pPr>
      <w:snapToGrid w:val="0"/>
      <w:jc w:val="left"/>
    </w:pPr>
  </w:style>
  <w:style w:type="paragraph" w:styleId="39">
    <w:name w:val="footer"/>
    <w:basedOn w:val="1"/>
    <w:link w:val="97"/>
    <w:qFormat/>
    <w:uiPriority w:val="0"/>
    <w:pPr>
      <w:tabs>
        <w:tab w:val="center" w:pos="4153"/>
        <w:tab w:val="right" w:pos="8306"/>
      </w:tabs>
      <w:snapToGrid w:val="0"/>
      <w:jc w:val="left"/>
    </w:pPr>
    <w:rPr>
      <w:sz w:val="18"/>
      <w:szCs w:val="18"/>
    </w:rPr>
  </w:style>
  <w:style w:type="paragraph" w:styleId="40">
    <w:name w:val="header"/>
    <w:basedOn w:val="1"/>
    <w:link w:val="98"/>
    <w:qFormat/>
    <w:uiPriority w:val="99"/>
    <w:pPr>
      <w:pBdr>
        <w:bottom w:val="single" w:color="auto" w:sz="6" w:space="1"/>
      </w:pBdr>
      <w:tabs>
        <w:tab w:val="center" w:pos="4153"/>
        <w:tab w:val="right" w:pos="8306"/>
      </w:tabs>
      <w:snapToGrid w:val="0"/>
      <w:jc w:val="center"/>
    </w:pPr>
    <w:rPr>
      <w:sz w:val="18"/>
      <w:szCs w:val="18"/>
    </w:rPr>
  </w:style>
  <w:style w:type="paragraph" w:styleId="41">
    <w:name w:val="toc 1"/>
    <w:basedOn w:val="1"/>
    <w:next w:val="1"/>
    <w:qFormat/>
    <w:uiPriority w:val="39"/>
    <w:pPr>
      <w:spacing w:before="120" w:after="120"/>
      <w:jc w:val="left"/>
    </w:pPr>
    <w:rPr>
      <w:b/>
      <w:bCs/>
      <w:caps/>
      <w:sz w:val="20"/>
    </w:rPr>
  </w:style>
  <w:style w:type="paragraph" w:styleId="42">
    <w:name w:val="toc 4"/>
    <w:basedOn w:val="1"/>
    <w:next w:val="1"/>
    <w:qFormat/>
    <w:uiPriority w:val="39"/>
    <w:pPr>
      <w:ind w:left="630"/>
      <w:jc w:val="left"/>
    </w:pPr>
    <w:rPr>
      <w:sz w:val="18"/>
      <w:szCs w:val="18"/>
    </w:rPr>
  </w:style>
  <w:style w:type="paragraph" w:styleId="43">
    <w:name w:val="index heading"/>
    <w:basedOn w:val="1"/>
    <w:next w:val="44"/>
    <w:qFormat/>
    <w:uiPriority w:val="0"/>
    <w:pPr>
      <w:autoSpaceDE w:val="0"/>
      <w:autoSpaceDN w:val="0"/>
      <w:adjustRightInd w:val="0"/>
      <w:jc w:val="left"/>
    </w:pPr>
    <w:rPr>
      <w:rFonts w:ascii="MingLiU" w:eastAsia="MingLiU"/>
      <w:spacing w:val="60"/>
      <w:kern w:val="0"/>
      <w:sz w:val="24"/>
      <w:lang w:eastAsia="zh-TW"/>
    </w:rPr>
  </w:style>
  <w:style w:type="paragraph" w:styleId="44">
    <w:name w:val="index 1"/>
    <w:basedOn w:val="1"/>
    <w:next w:val="1"/>
    <w:qFormat/>
    <w:uiPriority w:val="0"/>
    <w:rPr>
      <w:rFonts w:eastAsia="仿宋_GB2312"/>
      <w:sz w:val="28"/>
    </w:rPr>
  </w:style>
  <w:style w:type="paragraph" w:styleId="45">
    <w:name w:val="Subtitle"/>
    <w:basedOn w:val="1"/>
    <w:next w:val="1"/>
    <w:link w:val="99"/>
    <w:qFormat/>
    <w:uiPriority w:val="0"/>
    <w:pPr>
      <w:widowControl/>
      <w:spacing w:before="240" w:after="60" w:line="312" w:lineRule="auto"/>
      <w:jc w:val="center"/>
      <w:outlineLvl w:val="1"/>
    </w:pPr>
    <w:rPr>
      <w:rFonts w:ascii="Cambria" w:hAnsi="Cambria"/>
      <w:b/>
      <w:bCs/>
      <w:kern w:val="28"/>
      <w:sz w:val="32"/>
      <w:szCs w:val="32"/>
    </w:rPr>
  </w:style>
  <w:style w:type="paragraph" w:styleId="46">
    <w:name w:val="footnote text"/>
    <w:basedOn w:val="1"/>
    <w:link w:val="100"/>
    <w:qFormat/>
    <w:uiPriority w:val="0"/>
    <w:pPr>
      <w:snapToGrid w:val="0"/>
      <w:jc w:val="left"/>
    </w:pPr>
    <w:rPr>
      <w:sz w:val="18"/>
    </w:rPr>
  </w:style>
  <w:style w:type="paragraph" w:styleId="47">
    <w:name w:val="toc 6"/>
    <w:basedOn w:val="1"/>
    <w:next w:val="1"/>
    <w:qFormat/>
    <w:uiPriority w:val="39"/>
    <w:pPr>
      <w:ind w:left="1050"/>
      <w:jc w:val="left"/>
    </w:pPr>
    <w:rPr>
      <w:sz w:val="18"/>
      <w:szCs w:val="18"/>
    </w:rPr>
  </w:style>
  <w:style w:type="paragraph" w:styleId="48">
    <w:name w:val="List 5"/>
    <w:basedOn w:val="1"/>
    <w:unhideWhenUsed/>
    <w:qFormat/>
    <w:uiPriority w:val="99"/>
    <w:pPr>
      <w:widowControl/>
      <w:spacing w:line="240" w:lineRule="atLeast"/>
      <w:ind w:left="100" w:leftChars="800" w:hanging="200" w:hangingChars="200"/>
      <w:contextualSpacing/>
      <w:jc w:val="left"/>
    </w:pPr>
  </w:style>
  <w:style w:type="paragraph" w:styleId="49">
    <w:name w:val="Body Text Indent 3"/>
    <w:basedOn w:val="1"/>
    <w:link w:val="101"/>
    <w:qFormat/>
    <w:uiPriority w:val="0"/>
    <w:pPr>
      <w:tabs>
        <w:tab w:val="left" w:pos="0"/>
      </w:tabs>
      <w:spacing w:line="400" w:lineRule="exact"/>
      <w:ind w:left="563" w:leftChars="228" w:hanging="84" w:hangingChars="35"/>
    </w:pPr>
    <w:rPr>
      <w:color w:val="000000"/>
      <w:sz w:val="24"/>
    </w:rPr>
  </w:style>
  <w:style w:type="paragraph" w:styleId="50">
    <w:name w:val="index 7"/>
    <w:basedOn w:val="1"/>
    <w:next w:val="1"/>
    <w:qFormat/>
    <w:uiPriority w:val="0"/>
    <w:pPr>
      <w:autoSpaceDE w:val="0"/>
      <w:autoSpaceDN w:val="0"/>
      <w:adjustRightInd w:val="0"/>
      <w:ind w:left="2880"/>
      <w:jc w:val="left"/>
    </w:pPr>
    <w:rPr>
      <w:rFonts w:ascii="MingLiU" w:eastAsia="MingLiU"/>
      <w:spacing w:val="60"/>
      <w:kern w:val="0"/>
      <w:sz w:val="22"/>
      <w:lang w:eastAsia="zh-TW"/>
    </w:rPr>
  </w:style>
  <w:style w:type="paragraph" w:styleId="51">
    <w:name w:val="table of figures"/>
    <w:basedOn w:val="1"/>
    <w:next w:val="1"/>
    <w:qFormat/>
    <w:uiPriority w:val="0"/>
    <w:pPr>
      <w:spacing w:line="480" w:lineRule="auto"/>
      <w:ind w:left="400" w:leftChars="200" w:hanging="200" w:hangingChars="200"/>
    </w:pPr>
    <w:rPr>
      <w:b/>
      <w:sz w:val="32"/>
      <w:szCs w:val="24"/>
    </w:rPr>
  </w:style>
  <w:style w:type="paragraph" w:styleId="52">
    <w:name w:val="toc 2"/>
    <w:basedOn w:val="1"/>
    <w:next w:val="1"/>
    <w:qFormat/>
    <w:uiPriority w:val="39"/>
    <w:pPr>
      <w:ind w:left="210"/>
      <w:jc w:val="left"/>
    </w:pPr>
    <w:rPr>
      <w:smallCaps/>
      <w:sz w:val="20"/>
    </w:rPr>
  </w:style>
  <w:style w:type="paragraph" w:styleId="53">
    <w:name w:val="toc 9"/>
    <w:basedOn w:val="1"/>
    <w:next w:val="1"/>
    <w:qFormat/>
    <w:uiPriority w:val="39"/>
    <w:pPr>
      <w:ind w:left="1680"/>
      <w:jc w:val="left"/>
    </w:pPr>
    <w:rPr>
      <w:sz w:val="18"/>
      <w:szCs w:val="18"/>
    </w:rPr>
  </w:style>
  <w:style w:type="paragraph" w:styleId="54">
    <w:name w:val="Body Text 2"/>
    <w:basedOn w:val="1"/>
    <w:link w:val="102"/>
    <w:qFormat/>
    <w:uiPriority w:val="0"/>
    <w:rPr>
      <w:rFonts w:ascii="宋体" w:hAnsi="宋体"/>
      <w:szCs w:val="24"/>
      <w:u w:val="single"/>
    </w:rPr>
  </w:style>
  <w:style w:type="paragraph" w:styleId="55">
    <w:name w:val="HTML Preformatted"/>
    <w:basedOn w:val="1"/>
    <w:link w:val="103"/>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jc w:val="left"/>
    </w:pPr>
    <w:rPr>
      <w:rFonts w:ascii="黑体" w:hAnsi="Courier New" w:eastAsia="黑体"/>
      <w:kern w:val="0"/>
      <w:sz w:val="20"/>
    </w:rPr>
  </w:style>
  <w:style w:type="paragraph" w:styleId="56">
    <w:name w:val="Normal (Web)"/>
    <w:basedOn w:val="1"/>
    <w:qFormat/>
    <w:uiPriority w:val="0"/>
    <w:pPr>
      <w:widowControl/>
      <w:spacing w:before="284" w:after="100" w:afterAutospacing="1" w:line="360" w:lineRule="auto"/>
      <w:jc w:val="left"/>
    </w:pPr>
    <w:rPr>
      <w:rFonts w:ascii="宋体" w:hAnsi="宋体" w:cs="宋体"/>
      <w:kern w:val="0"/>
      <w:sz w:val="24"/>
      <w:szCs w:val="24"/>
    </w:rPr>
  </w:style>
  <w:style w:type="paragraph" w:styleId="57">
    <w:name w:val="index 2"/>
    <w:basedOn w:val="1"/>
    <w:next w:val="1"/>
    <w:qFormat/>
    <w:uiPriority w:val="0"/>
    <w:pPr>
      <w:autoSpaceDE w:val="0"/>
      <w:autoSpaceDN w:val="0"/>
      <w:adjustRightInd w:val="0"/>
      <w:ind w:left="475"/>
      <w:jc w:val="left"/>
    </w:pPr>
    <w:rPr>
      <w:rFonts w:ascii="MingLiU" w:eastAsia="MingLiU"/>
      <w:spacing w:val="60"/>
      <w:kern w:val="0"/>
      <w:sz w:val="22"/>
      <w:lang w:eastAsia="zh-TW"/>
    </w:rPr>
  </w:style>
  <w:style w:type="paragraph" w:styleId="58">
    <w:name w:val="Title"/>
    <w:basedOn w:val="1"/>
    <w:link w:val="74"/>
    <w:qFormat/>
    <w:uiPriority w:val="0"/>
    <w:pPr>
      <w:spacing w:before="240" w:after="60"/>
      <w:jc w:val="center"/>
      <w:outlineLvl w:val="0"/>
    </w:pPr>
    <w:rPr>
      <w:rFonts w:ascii="Arial" w:hAnsi="Arial" w:cs="Arial"/>
      <w:b/>
      <w:bCs/>
      <w:sz w:val="32"/>
      <w:szCs w:val="32"/>
    </w:rPr>
  </w:style>
  <w:style w:type="paragraph" w:styleId="59">
    <w:name w:val="annotation subject"/>
    <w:basedOn w:val="21"/>
    <w:next w:val="21"/>
    <w:link w:val="104"/>
    <w:qFormat/>
    <w:uiPriority w:val="0"/>
    <w:rPr>
      <w:b/>
      <w:bCs/>
    </w:rPr>
  </w:style>
  <w:style w:type="paragraph" w:styleId="60">
    <w:name w:val="Body Text First Indent"/>
    <w:basedOn w:val="25"/>
    <w:link w:val="76"/>
    <w:qFormat/>
    <w:uiPriority w:val="0"/>
    <w:pPr>
      <w:ind w:firstLine="420"/>
    </w:pPr>
  </w:style>
  <w:style w:type="paragraph" w:styleId="61">
    <w:name w:val="Body Text First Indent 2"/>
    <w:basedOn w:val="26"/>
    <w:link w:val="105"/>
    <w:qFormat/>
    <w:uiPriority w:val="0"/>
    <w:pPr>
      <w:adjustRightInd w:val="0"/>
      <w:spacing w:after="120"/>
      <w:ind w:left="420" w:leftChars="200" w:firstLine="420" w:firstLineChars="200"/>
      <w:jc w:val="left"/>
      <w:textAlignment w:val="baseline"/>
    </w:pPr>
    <w:rPr>
      <w:rFonts w:ascii="MingLiU" w:eastAsia="MingLiU"/>
      <w:kern w:val="0"/>
      <w:sz w:val="20"/>
      <w:lang w:eastAsia="zh-TW"/>
    </w:rPr>
  </w:style>
  <w:style w:type="table" w:styleId="63">
    <w:name w:val="Table Grid"/>
    <w:basedOn w:val="6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5">
    <w:name w:val="Strong"/>
    <w:qFormat/>
    <w:uiPriority w:val="0"/>
    <w:rPr>
      <w:b/>
      <w:bCs/>
    </w:rPr>
  </w:style>
  <w:style w:type="character" w:styleId="66">
    <w:name w:val="endnote reference"/>
    <w:qFormat/>
    <w:uiPriority w:val="0"/>
    <w:rPr>
      <w:vertAlign w:val="superscript"/>
    </w:rPr>
  </w:style>
  <w:style w:type="character" w:styleId="67">
    <w:name w:val="page number"/>
    <w:basedOn w:val="64"/>
    <w:qFormat/>
    <w:uiPriority w:val="0"/>
  </w:style>
  <w:style w:type="character" w:styleId="68">
    <w:name w:val="FollowedHyperlink"/>
    <w:qFormat/>
    <w:uiPriority w:val="99"/>
    <w:rPr>
      <w:color w:val="800080"/>
      <w:u w:val="single"/>
    </w:rPr>
  </w:style>
  <w:style w:type="character" w:styleId="69">
    <w:name w:val="Emphasis"/>
    <w:qFormat/>
    <w:uiPriority w:val="20"/>
    <w:rPr>
      <w:i/>
      <w:iCs/>
    </w:rPr>
  </w:style>
  <w:style w:type="character" w:styleId="70">
    <w:name w:val="line number"/>
    <w:qFormat/>
    <w:uiPriority w:val="0"/>
    <w:rPr>
      <w:rFonts w:ascii="CF-A2¡Lq¡±oAe" w:hAnsi="CF-A2¡Lq¡±oAe"/>
      <w:spacing w:val="60"/>
      <w:lang w:val="en-US"/>
    </w:rPr>
  </w:style>
  <w:style w:type="character" w:styleId="71">
    <w:name w:val="Hyperlink"/>
    <w:qFormat/>
    <w:uiPriority w:val="99"/>
    <w:rPr>
      <w:color w:val="0000FF"/>
      <w:u w:val="single"/>
    </w:rPr>
  </w:style>
  <w:style w:type="character" w:styleId="72">
    <w:name w:val="annotation reference"/>
    <w:qFormat/>
    <w:uiPriority w:val="99"/>
    <w:rPr>
      <w:sz w:val="21"/>
      <w:szCs w:val="21"/>
    </w:rPr>
  </w:style>
  <w:style w:type="character" w:styleId="73">
    <w:name w:val="footnote reference"/>
    <w:qFormat/>
    <w:uiPriority w:val="0"/>
    <w:rPr>
      <w:spacing w:val="60"/>
      <w:position w:val="6"/>
      <w:sz w:val="16"/>
      <w:lang w:val="en-US"/>
    </w:rPr>
  </w:style>
  <w:style w:type="character" w:customStyle="1" w:styleId="74">
    <w:name w:val="标题 字符"/>
    <w:link w:val="58"/>
    <w:qFormat/>
    <w:uiPriority w:val="10"/>
    <w:rPr>
      <w:rFonts w:ascii="Arial" w:hAnsi="Arial" w:eastAsia="宋体" w:cs="Arial"/>
      <w:b/>
      <w:bCs/>
      <w:kern w:val="2"/>
      <w:sz w:val="32"/>
      <w:szCs w:val="32"/>
      <w:lang w:val="en-US" w:eastAsia="zh-CN" w:bidi="ar-SA"/>
    </w:rPr>
  </w:style>
  <w:style w:type="character" w:customStyle="1" w:styleId="75">
    <w:name w:val="正文文本 字符"/>
    <w:link w:val="25"/>
    <w:qFormat/>
    <w:uiPriority w:val="99"/>
    <w:rPr>
      <w:kern w:val="2"/>
      <w:sz w:val="21"/>
    </w:rPr>
  </w:style>
  <w:style w:type="character" w:customStyle="1" w:styleId="76">
    <w:name w:val="正文文本首行缩进 字符"/>
    <w:basedOn w:val="64"/>
    <w:link w:val="60"/>
    <w:qFormat/>
    <w:uiPriority w:val="0"/>
    <w:rPr>
      <w:kern w:val="2"/>
      <w:sz w:val="21"/>
    </w:rPr>
  </w:style>
  <w:style w:type="character" w:customStyle="1" w:styleId="77">
    <w:name w:val="标题 1 字符"/>
    <w:link w:val="3"/>
    <w:qFormat/>
    <w:uiPriority w:val="9"/>
    <w:rPr>
      <w:rFonts w:ascii="宋体" w:hAnsi="宋体" w:eastAsia="宋体"/>
      <w:b/>
      <w:bCs/>
      <w:color w:val="000000"/>
      <w:kern w:val="44"/>
      <w:sz w:val="28"/>
      <w:szCs w:val="28"/>
      <w:lang w:val="en-US" w:eastAsia="zh-CN" w:bidi="ar-SA"/>
    </w:rPr>
  </w:style>
  <w:style w:type="character" w:customStyle="1" w:styleId="78">
    <w:name w:val="正文缩进 字符"/>
    <w:link w:val="5"/>
    <w:qFormat/>
    <w:uiPriority w:val="0"/>
    <w:rPr>
      <w:kern w:val="2"/>
      <w:sz w:val="21"/>
    </w:rPr>
  </w:style>
  <w:style w:type="character" w:customStyle="1" w:styleId="79">
    <w:name w:val="标题 2 字符"/>
    <w:link w:val="4"/>
    <w:qFormat/>
    <w:uiPriority w:val="9"/>
    <w:rPr>
      <w:rFonts w:ascii="Arial" w:hAnsi="Arial" w:eastAsia="宋体"/>
      <w:b/>
      <w:color w:val="000000"/>
      <w:kern w:val="2"/>
      <w:sz w:val="24"/>
      <w:szCs w:val="24"/>
      <w:lang w:val="en-US" w:eastAsia="zh-CN" w:bidi="ar-SA"/>
    </w:rPr>
  </w:style>
  <w:style w:type="character" w:customStyle="1" w:styleId="80">
    <w:name w:val="标题 3 字符"/>
    <w:link w:val="6"/>
    <w:qFormat/>
    <w:uiPriority w:val="9"/>
    <w:rPr>
      <w:rFonts w:eastAsia="宋体"/>
      <w:b/>
      <w:bCs/>
      <w:kern w:val="2"/>
      <w:sz w:val="32"/>
      <w:szCs w:val="32"/>
      <w:lang w:val="en-US" w:eastAsia="zh-CN" w:bidi="ar-SA"/>
    </w:rPr>
  </w:style>
  <w:style w:type="character" w:customStyle="1" w:styleId="81">
    <w:name w:val="标题 4 字符"/>
    <w:link w:val="8"/>
    <w:qFormat/>
    <w:uiPriority w:val="9"/>
    <w:rPr>
      <w:rFonts w:ascii="Arial" w:hAnsi="Arial" w:eastAsia="宋体"/>
      <w:b/>
      <w:bCs/>
      <w:color w:val="000000"/>
      <w:kern w:val="2"/>
      <w:sz w:val="24"/>
      <w:szCs w:val="24"/>
      <w:lang w:val="en-US" w:eastAsia="zh-CN" w:bidi="ar-SA"/>
    </w:rPr>
  </w:style>
  <w:style w:type="character" w:customStyle="1" w:styleId="82">
    <w:name w:val="标题 5 字符"/>
    <w:link w:val="9"/>
    <w:qFormat/>
    <w:uiPriority w:val="9"/>
    <w:rPr>
      <w:rFonts w:ascii="Arial" w:hAnsi="Arial" w:eastAsia="宋体"/>
      <w:b/>
      <w:bCs/>
      <w:color w:val="000000"/>
      <w:kern w:val="2"/>
      <w:sz w:val="24"/>
      <w:szCs w:val="24"/>
      <w:lang w:val="en-US" w:eastAsia="zh-CN" w:bidi="ar-SA"/>
    </w:rPr>
  </w:style>
  <w:style w:type="character" w:customStyle="1" w:styleId="83">
    <w:name w:val="标题 6 字符"/>
    <w:link w:val="10"/>
    <w:qFormat/>
    <w:uiPriority w:val="9"/>
    <w:rPr>
      <w:rFonts w:ascii="Arial" w:hAnsi="Arial" w:eastAsia="黑体"/>
      <w:b/>
      <w:bCs/>
      <w:kern w:val="2"/>
      <w:sz w:val="24"/>
      <w:szCs w:val="24"/>
      <w:lang w:val="en-US" w:eastAsia="zh-CN" w:bidi="ar-SA"/>
    </w:rPr>
  </w:style>
  <w:style w:type="character" w:customStyle="1" w:styleId="84">
    <w:name w:val="标题 7 字符"/>
    <w:link w:val="11"/>
    <w:qFormat/>
    <w:uiPriority w:val="9"/>
    <w:rPr>
      <w:rFonts w:eastAsia="宋体"/>
      <w:b/>
      <w:kern w:val="2"/>
      <w:sz w:val="24"/>
      <w:lang w:val="en-US" w:eastAsia="zh-CN" w:bidi="ar-SA"/>
    </w:rPr>
  </w:style>
  <w:style w:type="character" w:customStyle="1" w:styleId="85">
    <w:name w:val="标题 8 字符"/>
    <w:link w:val="12"/>
    <w:qFormat/>
    <w:uiPriority w:val="9"/>
    <w:rPr>
      <w:rFonts w:ascii="Arial" w:hAnsi="Arial" w:eastAsia="黑体"/>
      <w:kern w:val="2"/>
      <w:sz w:val="24"/>
    </w:rPr>
  </w:style>
  <w:style w:type="character" w:customStyle="1" w:styleId="86">
    <w:name w:val="标题 9 字符"/>
    <w:link w:val="13"/>
    <w:qFormat/>
    <w:uiPriority w:val="9"/>
    <w:rPr>
      <w:rFonts w:ascii="Arial" w:hAnsi="Arial" w:eastAsia="黑体"/>
      <w:kern w:val="2"/>
      <w:sz w:val="21"/>
    </w:rPr>
  </w:style>
  <w:style w:type="character" w:customStyle="1" w:styleId="87">
    <w:name w:val="文档结构图 字符"/>
    <w:link w:val="19"/>
    <w:qFormat/>
    <w:uiPriority w:val="99"/>
    <w:rPr>
      <w:rFonts w:eastAsia="宋体"/>
      <w:kern w:val="2"/>
      <w:sz w:val="21"/>
      <w:lang w:val="en-US" w:eastAsia="zh-CN" w:bidi="ar-SA"/>
    </w:rPr>
  </w:style>
  <w:style w:type="character" w:customStyle="1" w:styleId="88">
    <w:name w:val="批注文字 字符"/>
    <w:link w:val="21"/>
    <w:qFormat/>
    <w:uiPriority w:val="99"/>
    <w:rPr>
      <w:kern w:val="2"/>
      <w:sz w:val="21"/>
    </w:rPr>
  </w:style>
  <w:style w:type="character" w:customStyle="1" w:styleId="89">
    <w:name w:val="称呼 字符"/>
    <w:link w:val="23"/>
    <w:qFormat/>
    <w:uiPriority w:val="0"/>
    <w:rPr>
      <w:kern w:val="2"/>
      <w:sz w:val="21"/>
      <w:szCs w:val="24"/>
    </w:rPr>
  </w:style>
  <w:style w:type="character" w:customStyle="1" w:styleId="90">
    <w:name w:val="正文文本 3 字符"/>
    <w:link w:val="24"/>
    <w:qFormat/>
    <w:uiPriority w:val="0"/>
    <w:rPr>
      <w:rFonts w:ascii="MingLiU" w:eastAsia="MingLiU"/>
      <w:sz w:val="16"/>
      <w:szCs w:val="16"/>
      <w:lang w:eastAsia="zh-TW"/>
    </w:rPr>
  </w:style>
  <w:style w:type="character" w:customStyle="1" w:styleId="91">
    <w:name w:val="正文文本缩进 字符"/>
    <w:link w:val="26"/>
    <w:qFormat/>
    <w:uiPriority w:val="99"/>
    <w:rPr>
      <w:rFonts w:eastAsia="宋体"/>
      <w:kern w:val="2"/>
      <w:sz w:val="28"/>
      <w:lang w:val="en-US" w:eastAsia="zh-CN" w:bidi="ar-SA"/>
    </w:rPr>
  </w:style>
  <w:style w:type="character" w:customStyle="1" w:styleId="92">
    <w:name w:val="纯文本 字符"/>
    <w:link w:val="33"/>
    <w:qFormat/>
    <w:uiPriority w:val="99"/>
    <w:rPr>
      <w:rFonts w:ascii="宋体" w:hAnsi="Courier New"/>
      <w:kern w:val="2"/>
      <w:sz w:val="21"/>
    </w:rPr>
  </w:style>
  <w:style w:type="character" w:customStyle="1" w:styleId="93">
    <w:name w:val="日期 字符"/>
    <w:link w:val="36"/>
    <w:qFormat/>
    <w:uiPriority w:val="99"/>
    <w:rPr>
      <w:kern w:val="2"/>
      <w:sz w:val="21"/>
    </w:rPr>
  </w:style>
  <w:style w:type="character" w:customStyle="1" w:styleId="94">
    <w:name w:val="正文文本缩进 2 字符"/>
    <w:link w:val="37"/>
    <w:qFormat/>
    <w:uiPriority w:val="99"/>
    <w:rPr>
      <w:color w:val="000000"/>
      <w:kern w:val="2"/>
      <w:sz w:val="24"/>
    </w:rPr>
  </w:style>
  <w:style w:type="character" w:customStyle="1" w:styleId="95">
    <w:name w:val="尾注文本 字符"/>
    <w:link w:val="38"/>
    <w:qFormat/>
    <w:uiPriority w:val="99"/>
    <w:rPr>
      <w:rFonts w:eastAsia="宋体"/>
      <w:kern w:val="2"/>
      <w:sz w:val="21"/>
      <w:lang w:val="en-US" w:eastAsia="zh-CN" w:bidi="ar-SA"/>
    </w:rPr>
  </w:style>
  <w:style w:type="character" w:customStyle="1" w:styleId="96">
    <w:name w:val="批注框文本 字符"/>
    <w:link w:val="2"/>
    <w:qFormat/>
    <w:uiPriority w:val="99"/>
    <w:rPr>
      <w:kern w:val="2"/>
      <w:sz w:val="18"/>
      <w:szCs w:val="18"/>
    </w:rPr>
  </w:style>
  <w:style w:type="character" w:customStyle="1" w:styleId="97">
    <w:name w:val="页脚 字符"/>
    <w:link w:val="39"/>
    <w:qFormat/>
    <w:uiPriority w:val="99"/>
    <w:rPr>
      <w:rFonts w:eastAsia="宋体"/>
      <w:kern w:val="2"/>
      <w:sz w:val="18"/>
      <w:szCs w:val="18"/>
      <w:lang w:val="en-US" w:eastAsia="zh-CN" w:bidi="ar-SA"/>
    </w:rPr>
  </w:style>
  <w:style w:type="character" w:customStyle="1" w:styleId="98">
    <w:name w:val="页眉 字符"/>
    <w:link w:val="40"/>
    <w:qFormat/>
    <w:uiPriority w:val="99"/>
    <w:rPr>
      <w:rFonts w:eastAsia="宋体"/>
      <w:kern w:val="2"/>
      <w:sz w:val="18"/>
      <w:szCs w:val="18"/>
      <w:lang w:val="en-US" w:eastAsia="zh-CN" w:bidi="ar-SA"/>
    </w:rPr>
  </w:style>
  <w:style w:type="character" w:customStyle="1" w:styleId="99">
    <w:name w:val="副标题 字符"/>
    <w:link w:val="45"/>
    <w:qFormat/>
    <w:uiPriority w:val="0"/>
    <w:rPr>
      <w:rFonts w:ascii="Cambria" w:hAnsi="Cambria"/>
      <w:b/>
      <w:bCs/>
      <w:kern w:val="28"/>
      <w:sz w:val="32"/>
      <w:szCs w:val="32"/>
    </w:rPr>
  </w:style>
  <w:style w:type="character" w:customStyle="1" w:styleId="100">
    <w:name w:val="脚注文本 字符"/>
    <w:link w:val="46"/>
    <w:qFormat/>
    <w:uiPriority w:val="99"/>
    <w:rPr>
      <w:kern w:val="2"/>
      <w:sz w:val="18"/>
    </w:rPr>
  </w:style>
  <w:style w:type="character" w:customStyle="1" w:styleId="101">
    <w:name w:val="正文文本缩进 3 字符"/>
    <w:link w:val="49"/>
    <w:qFormat/>
    <w:uiPriority w:val="99"/>
    <w:rPr>
      <w:color w:val="000000"/>
      <w:kern w:val="2"/>
      <w:sz w:val="24"/>
    </w:rPr>
  </w:style>
  <w:style w:type="character" w:customStyle="1" w:styleId="102">
    <w:name w:val="正文文本 2 字符"/>
    <w:link w:val="54"/>
    <w:qFormat/>
    <w:uiPriority w:val="99"/>
    <w:rPr>
      <w:rFonts w:ascii="宋体" w:hAnsi="宋体"/>
      <w:kern w:val="2"/>
      <w:sz w:val="21"/>
      <w:szCs w:val="24"/>
      <w:u w:val="single"/>
    </w:rPr>
  </w:style>
  <w:style w:type="character" w:customStyle="1" w:styleId="103">
    <w:name w:val="HTML 预设格式 字符"/>
    <w:link w:val="55"/>
    <w:qFormat/>
    <w:uiPriority w:val="0"/>
    <w:rPr>
      <w:rFonts w:ascii="黑体" w:hAnsi="Courier New" w:eastAsia="黑体"/>
    </w:rPr>
  </w:style>
  <w:style w:type="character" w:customStyle="1" w:styleId="104">
    <w:name w:val="批注主题 字符"/>
    <w:link w:val="59"/>
    <w:qFormat/>
    <w:uiPriority w:val="99"/>
    <w:rPr>
      <w:b/>
      <w:bCs/>
      <w:kern w:val="2"/>
      <w:sz w:val="21"/>
    </w:rPr>
  </w:style>
  <w:style w:type="character" w:customStyle="1" w:styleId="105">
    <w:name w:val="正文文本首行缩进 2 字符"/>
    <w:link w:val="61"/>
    <w:qFormat/>
    <w:uiPriority w:val="0"/>
    <w:rPr>
      <w:rFonts w:ascii="MingLiU" w:eastAsia="MingLiU"/>
      <w:lang w:eastAsia="zh-TW"/>
    </w:rPr>
  </w:style>
  <w:style w:type="paragraph" w:customStyle="1" w:styleId="106">
    <w:name w:val="xl48"/>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left"/>
      <w:textAlignment w:val="center"/>
    </w:pPr>
    <w:rPr>
      <w:rFonts w:ascii="Arial" w:hAnsi="Arial" w:eastAsia="Arial Unicode MS" w:cs="Arial"/>
      <w:kern w:val="0"/>
      <w:sz w:val="24"/>
      <w:szCs w:val="24"/>
      <w:lang w:eastAsia="en-US"/>
    </w:rPr>
  </w:style>
  <w:style w:type="paragraph" w:customStyle="1" w:styleId="107">
    <w:name w:val="表格文字、插入图表 居中"/>
    <w:basedOn w:val="1"/>
    <w:link w:val="108"/>
    <w:qFormat/>
    <w:uiPriority w:val="0"/>
    <w:pPr>
      <w:adjustRightInd w:val="0"/>
      <w:snapToGrid w:val="0"/>
      <w:jc w:val="center"/>
    </w:pPr>
    <w:rPr>
      <w:rFonts w:ascii="宋体" w:hAnsi="宋体" w:cs="宋体"/>
      <w:snapToGrid w:val="0"/>
      <w:szCs w:val="21"/>
    </w:rPr>
  </w:style>
  <w:style w:type="character" w:customStyle="1" w:styleId="108">
    <w:name w:val="表格文字、插入图表 居中 Char"/>
    <w:link w:val="107"/>
    <w:qFormat/>
    <w:uiPriority w:val="0"/>
    <w:rPr>
      <w:rFonts w:ascii="宋体" w:hAnsi="宋体" w:eastAsia="宋体" w:cs="宋体"/>
      <w:snapToGrid w:val="0"/>
      <w:sz w:val="21"/>
      <w:szCs w:val="21"/>
      <w:lang w:val="en-US" w:eastAsia="zh-CN" w:bidi="ar-SA"/>
    </w:rPr>
  </w:style>
  <w:style w:type="paragraph" w:customStyle="1" w:styleId="109">
    <w:name w:val="font7"/>
    <w:basedOn w:val="1"/>
    <w:qFormat/>
    <w:uiPriority w:val="0"/>
    <w:pPr>
      <w:widowControl/>
      <w:spacing w:before="100" w:beforeAutospacing="1" w:after="100" w:afterAutospacing="1"/>
      <w:jc w:val="left"/>
    </w:pPr>
    <w:rPr>
      <w:rFonts w:hint="eastAsia" w:ascii="宋体" w:hAnsi="宋体" w:cs="Arial Unicode MS"/>
      <w:kern w:val="0"/>
      <w:sz w:val="22"/>
      <w:szCs w:val="22"/>
      <w:lang w:eastAsia="en-US"/>
    </w:rPr>
  </w:style>
  <w:style w:type="paragraph" w:customStyle="1" w:styleId="110">
    <w:name w:val="xl39"/>
    <w:basedOn w:val="1"/>
    <w:qFormat/>
    <w:uiPriority w:val="0"/>
    <w:pPr>
      <w:widowControl/>
      <w:pBdr>
        <w:top w:val="single" w:color="000000" w:sz="8" w:space="0"/>
        <w:left w:val="single" w:color="000000" w:sz="4" w:space="0"/>
        <w:bottom w:val="single" w:color="000000" w:sz="4" w:space="0"/>
        <w:right w:val="single" w:color="000000" w:sz="8"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111">
    <w:name w:val="xl32"/>
    <w:basedOn w:val="1"/>
    <w:qFormat/>
    <w:uiPriority w:val="0"/>
    <w:pPr>
      <w:widowControl/>
      <w:pBdr>
        <w:top w:val="single" w:color="000000" w:sz="4" w:space="0"/>
        <w:left w:val="single" w:color="000000" w:sz="8" w:space="0"/>
        <w:bottom w:val="single" w:color="000000" w:sz="8" w:space="0"/>
        <w:right w:val="single" w:color="000000" w:sz="4"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112">
    <w:name w:val="表格左缩进"/>
    <w:basedOn w:val="1"/>
    <w:link w:val="113"/>
    <w:qFormat/>
    <w:uiPriority w:val="0"/>
    <w:pPr>
      <w:ind w:firstLine="420" w:firstLineChars="200"/>
      <w:jc w:val="left"/>
    </w:pPr>
    <w:rPr>
      <w:rFonts w:ascii="华文中宋" w:eastAsia="华文中宋" w:cs="Angsana New"/>
      <w:szCs w:val="21"/>
    </w:rPr>
  </w:style>
  <w:style w:type="character" w:customStyle="1" w:styleId="113">
    <w:name w:val="表格左缩进 Char"/>
    <w:link w:val="112"/>
    <w:qFormat/>
    <w:uiPriority w:val="0"/>
    <w:rPr>
      <w:rFonts w:ascii="华文中宋" w:eastAsia="华文中宋" w:cs="Angsana New"/>
      <w:kern w:val="2"/>
      <w:sz w:val="21"/>
      <w:szCs w:val="21"/>
      <w:lang w:val="en-US" w:eastAsia="zh-CN" w:bidi="ar-SA"/>
    </w:rPr>
  </w:style>
  <w:style w:type="paragraph" w:customStyle="1" w:styleId="114">
    <w:name w:val="样式2"/>
    <w:basedOn w:val="4"/>
    <w:link w:val="115"/>
    <w:qFormat/>
    <w:uiPriority w:val="0"/>
    <w:pPr>
      <w:spacing w:before="260" w:after="100" w:afterAutospacing="1" w:line="413" w:lineRule="auto"/>
    </w:pPr>
    <w:rPr>
      <w:rFonts w:ascii="宋体" w:hAnsi="宋体" w:eastAsia="华文中宋"/>
      <w:bCs/>
      <w:color w:val="auto"/>
      <w:sz w:val="36"/>
      <w:szCs w:val="36"/>
    </w:rPr>
  </w:style>
  <w:style w:type="character" w:customStyle="1" w:styleId="115">
    <w:name w:val="样式2 Char Char"/>
    <w:link w:val="114"/>
    <w:qFormat/>
    <w:uiPriority w:val="0"/>
    <w:rPr>
      <w:rFonts w:ascii="宋体" w:hAnsi="宋体" w:eastAsia="华文中宋"/>
      <w:b/>
      <w:bCs/>
      <w:kern w:val="2"/>
      <w:sz w:val="36"/>
      <w:szCs w:val="36"/>
    </w:rPr>
  </w:style>
  <w:style w:type="paragraph" w:customStyle="1" w:styleId="116">
    <w:name w:val="普通(Web)1"/>
    <w:basedOn w:val="1"/>
    <w:qFormat/>
    <w:uiPriority w:val="0"/>
    <w:pPr>
      <w:widowControl/>
      <w:spacing w:before="284" w:line="360" w:lineRule="auto"/>
      <w:jc w:val="left"/>
    </w:pPr>
    <w:rPr>
      <w:rFonts w:ascii="宋体" w:hAnsi="宋体" w:cs="宋体"/>
      <w:kern w:val="0"/>
      <w:sz w:val="24"/>
      <w:szCs w:val="24"/>
    </w:rPr>
  </w:style>
  <w:style w:type="paragraph" w:customStyle="1" w:styleId="117">
    <w:name w:val="样式 样式 标题 3h3H3sect1.2.3标题 3 Char Charsect1.2.31sect1.2.32sec... ..."/>
    <w:basedOn w:val="118"/>
    <w:qFormat/>
    <w:uiPriority w:val="0"/>
    <w:pPr>
      <w:outlineLvl w:val="2"/>
    </w:pPr>
  </w:style>
  <w:style w:type="paragraph" w:customStyle="1" w:styleId="118">
    <w:name w:val="样式 标题 3h3H3sect1.2.3标题 3 Char Charsect1.2.31sect1.2.32sec..."/>
    <w:basedOn w:val="6"/>
    <w:qFormat/>
    <w:uiPriority w:val="0"/>
    <w:pPr>
      <w:spacing w:beforeLines="50" w:afterLines="50" w:line="360" w:lineRule="auto"/>
      <w:ind w:right="100" w:rightChars="100"/>
      <w:outlineLvl w:val="9"/>
    </w:pPr>
    <w:rPr>
      <w:rFonts w:ascii="宋体" w:hAnsi="宋体" w:cs="宋体"/>
      <w:bCs w:val="0"/>
      <w:kern w:val="10"/>
      <w:sz w:val="28"/>
      <w:szCs w:val="20"/>
    </w:rPr>
  </w:style>
  <w:style w:type="paragraph" w:customStyle="1" w:styleId="119">
    <w:name w:val="xl24"/>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hint="eastAsia" w:ascii="宋体" w:hAnsi="宋体" w:cs="Arial Unicode MS"/>
      <w:kern w:val="0"/>
      <w:sz w:val="24"/>
      <w:szCs w:val="24"/>
      <w:lang w:eastAsia="en-US"/>
    </w:rPr>
  </w:style>
  <w:style w:type="paragraph" w:customStyle="1" w:styleId="120">
    <w:name w:val="xl27"/>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textAlignment w:val="top"/>
    </w:pPr>
    <w:rPr>
      <w:rFonts w:eastAsia="Arial Unicode MS"/>
      <w:kern w:val="0"/>
      <w:szCs w:val="21"/>
      <w:lang w:eastAsia="en-US"/>
    </w:rPr>
  </w:style>
  <w:style w:type="paragraph" w:customStyle="1" w:styleId="121">
    <w:name w:val="xl41"/>
    <w:basedOn w:val="1"/>
    <w:qFormat/>
    <w:uiPriority w:val="0"/>
    <w:pPr>
      <w:widowControl/>
      <w:pBdr>
        <w:top w:val="single" w:color="000000" w:sz="8" w:space="0"/>
        <w:left w:val="single" w:color="000000" w:sz="8" w:space="0"/>
        <w:right w:val="single" w:color="000000" w:sz="8"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122">
    <w:name w:val="样式1"/>
    <w:basedOn w:val="1"/>
    <w:link w:val="836"/>
    <w:qFormat/>
    <w:uiPriority w:val="0"/>
    <w:pPr>
      <w:spacing w:before="120" w:after="120" w:line="300" w:lineRule="auto"/>
    </w:pPr>
    <w:rPr>
      <w:rFonts w:ascii="宋体" w:hAnsi="宋体"/>
      <w:b/>
      <w:sz w:val="24"/>
    </w:rPr>
  </w:style>
  <w:style w:type="paragraph" w:customStyle="1" w:styleId="123">
    <w:name w:val="公文标题"/>
    <w:basedOn w:val="6"/>
    <w:qFormat/>
    <w:uiPriority w:val="0"/>
    <w:pPr>
      <w:spacing w:line="240" w:lineRule="auto"/>
      <w:ind w:left="1469" w:right="1542"/>
      <w:jc w:val="center"/>
    </w:pPr>
    <w:rPr>
      <w:bCs w:val="0"/>
      <w:sz w:val="44"/>
      <w:szCs w:val="24"/>
    </w:rPr>
  </w:style>
  <w:style w:type="paragraph" w:customStyle="1" w:styleId="124">
    <w:name w:val="xl2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eastAsia="Arial Unicode MS"/>
      <w:kern w:val="0"/>
      <w:szCs w:val="21"/>
      <w:lang w:eastAsia="en-US"/>
    </w:rPr>
  </w:style>
  <w:style w:type="paragraph" w:customStyle="1" w:styleId="125">
    <w:name w:val="目录文字"/>
    <w:basedOn w:val="1"/>
    <w:qFormat/>
    <w:uiPriority w:val="0"/>
    <w:pPr>
      <w:widowControl/>
      <w:spacing w:line="480" w:lineRule="auto"/>
      <w:jc w:val="left"/>
    </w:pPr>
    <w:rPr>
      <w:rFonts w:ascii="宋体" w:hAnsi="宋体"/>
      <w:kern w:val="0"/>
      <w:sz w:val="24"/>
    </w:rPr>
  </w:style>
  <w:style w:type="paragraph" w:customStyle="1" w:styleId="126">
    <w:name w:val="正文首行缩进1"/>
    <w:basedOn w:val="25"/>
    <w:qFormat/>
    <w:uiPriority w:val="0"/>
    <w:pPr>
      <w:ind w:firstLine="420"/>
    </w:pPr>
  </w:style>
  <w:style w:type="paragraph" w:customStyle="1" w:styleId="127">
    <w:name w:val="菲页1"/>
    <w:basedOn w:val="4"/>
    <w:qFormat/>
    <w:uiPriority w:val="0"/>
    <w:pPr>
      <w:widowControl/>
      <w:tabs>
        <w:tab w:val="left" w:pos="0"/>
        <w:tab w:val="left" w:pos="1134"/>
      </w:tabs>
      <w:autoSpaceDE w:val="0"/>
      <w:autoSpaceDN w:val="0"/>
      <w:spacing w:before="0" w:after="0"/>
      <w:ind w:left="153" w:right="79" w:rightChars="36" w:firstLine="26" w:firstLineChars="11"/>
      <w:textAlignment w:val="bottom"/>
    </w:pPr>
    <w:rPr>
      <w:rFonts w:ascii="黑体" w:hAnsi="宋体"/>
      <w:b w:val="0"/>
      <w:color w:val="auto"/>
      <w:kern w:val="0"/>
      <w:sz w:val="52"/>
      <w:szCs w:val="32"/>
    </w:rPr>
  </w:style>
  <w:style w:type="paragraph" w:customStyle="1" w:styleId="128">
    <w:name w:val="样式 标题 5 + 小四 行距: 1.5 倍行距"/>
    <w:basedOn w:val="9"/>
    <w:qFormat/>
    <w:uiPriority w:val="0"/>
    <w:pPr>
      <w:adjustRightInd w:val="0"/>
      <w:spacing w:line="360" w:lineRule="auto"/>
      <w:ind w:right="210" w:rightChars="100"/>
      <w:jc w:val="left"/>
      <w:textAlignment w:val="baseline"/>
    </w:pPr>
    <w:rPr>
      <w:rFonts w:eastAsia="黑体"/>
      <w:kern w:val="0"/>
      <w:szCs w:val="28"/>
    </w:rPr>
  </w:style>
  <w:style w:type="paragraph" w:customStyle="1" w:styleId="129">
    <w:name w:val="样式 样式 样式 正文缩进ALT+Z四号段1Normal Indent Char2Normal Indent Char1 Cha..."/>
    <w:basedOn w:val="130"/>
    <w:link w:val="133"/>
    <w:qFormat/>
    <w:uiPriority w:val="0"/>
    <w:pPr>
      <w:tabs>
        <w:tab w:val="left" w:pos="1410"/>
      </w:tabs>
    </w:pPr>
    <w:rPr>
      <w:spacing w:val="24"/>
      <w:sz w:val="28"/>
    </w:rPr>
  </w:style>
  <w:style w:type="paragraph" w:customStyle="1" w:styleId="130">
    <w:name w:val="样式 样式 正文缩进ALT+Z四号段1Normal Indent Char2Normal Indent Char1 Char....."/>
    <w:basedOn w:val="131"/>
    <w:link w:val="132"/>
    <w:qFormat/>
    <w:uiPriority w:val="0"/>
    <w:pPr>
      <w:tabs>
        <w:tab w:val="left" w:pos="1410"/>
      </w:tabs>
    </w:pPr>
  </w:style>
  <w:style w:type="paragraph" w:customStyle="1" w:styleId="131">
    <w:name w:val="样式 标题 1 + 宋体 小四 黑色 两端对齐 行距: 1.5 倍行距"/>
    <w:basedOn w:val="3"/>
    <w:qFormat/>
    <w:uiPriority w:val="0"/>
    <w:pPr>
      <w:widowControl/>
      <w:tabs>
        <w:tab w:val="left" w:pos="1410"/>
      </w:tabs>
      <w:spacing w:before="0" w:after="0"/>
      <w:ind w:left="1410" w:leftChars="100" w:hanging="810"/>
    </w:pPr>
    <w:rPr>
      <w:rFonts w:cs="宋体"/>
      <w:kern w:val="0"/>
      <w:sz w:val="36"/>
      <w:szCs w:val="20"/>
    </w:rPr>
  </w:style>
  <w:style w:type="character" w:customStyle="1" w:styleId="132">
    <w:name w:val="样式 样式 正文缩进ALT+Z四号段1Normal Indent Char2Normal Indent Char1 Char..... Char"/>
    <w:link w:val="130"/>
    <w:qFormat/>
    <w:uiPriority w:val="0"/>
    <w:rPr>
      <w:rFonts w:ascii="宋体" w:hAnsi="宋体" w:eastAsia="宋体" w:cs="宋体"/>
      <w:b/>
      <w:bCs/>
      <w:color w:val="000000"/>
      <w:spacing w:val="30"/>
      <w:kern w:val="2"/>
      <w:sz w:val="36"/>
      <w:szCs w:val="28"/>
      <w:u w:val="single"/>
      <w:lang w:val="en-US" w:eastAsia="zh-CN" w:bidi="ar-SA"/>
    </w:rPr>
  </w:style>
  <w:style w:type="character" w:customStyle="1" w:styleId="133">
    <w:name w:val="样式 样式 样式 正文缩进ALT+Z四号段1Normal Indent Char2Normal Indent Char1 Cha... Char"/>
    <w:link w:val="129"/>
    <w:qFormat/>
    <w:uiPriority w:val="0"/>
    <w:rPr>
      <w:rFonts w:ascii="宋体" w:hAnsi="宋体" w:eastAsia="宋体" w:cs="宋体"/>
      <w:b/>
      <w:bCs/>
      <w:color w:val="000000"/>
      <w:spacing w:val="24"/>
      <w:kern w:val="2"/>
      <w:sz w:val="28"/>
      <w:szCs w:val="28"/>
      <w:u w:val="single"/>
      <w:lang w:val="en-US" w:eastAsia="zh-CN" w:bidi="ar-SA"/>
    </w:rPr>
  </w:style>
  <w:style w:type="paragraph" w:customStyle="1" w:styleId="134">
    <w:name w:val="xl58"/>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textAlignment w:val="center"/>
    </w:pPr>
    <w:rPr>
      <w:rFonts w:ascii="Arial" w:hAnsi="Arial" w:eastAsia="Arial Unicode MS" w:cs="Arial"/>
      <w:kern w:val="0"/>
      <w:sz w:val="22"/>
      <w:szCs w:val="22"/>
      <w:lang w:eastAsia="en-US"/>
    </w:rPr>
  </w:style>
  <w:style w:type="paragraph" w:customStyle="1" w:styleId="135">
    <w:name w:val="列出段落1"/>
    <w:basedOn w:val="1"/>
    <w:qFormat/>
    <w:uiPriority w:val="99"/>
    <w:pPr>
      <w:ind w:firstLine="420" w:firstLineChars="200"/>
    </w:pPr>
  </w:style>
  <w:style w:type="paragraph" w:customStyle="1" w:styleId="136">
    <w:name w:val="font5"/>
    <w:basedOn w:val="1"/>
    <w:qFormat/>
    <w:uiPriority w:val="0"/>
    <w:pPr>
      <w:widowControl/>
      <w:spacing w:before="100" w:beforeAutospacing="1" w:after="100" w:afterAutospacing="1"/>
      <w:jc w:val="left"/>
    </w:pPr>
    <w:rPr>
      <w:rFonts w:hint="eastAsia" w:ascii="宋体" w:hAnsi="宋体" w:cs="Arial Unicode MS"/>
      <w:kern w:val="0"/>
      <w:sz w:val="18"/>
      <w:szCs w:val="18"/>
      <w:lang w:eastAsia="en-US"/>
    </w:rPr>
  </w:style>
  <w:style w:type="paragraph" w:customStyle="1" w:styleId="137">
    <w:name w:val="样式 首行缩进:  2 字符1"/>
    <w:basedOn w:val="1"/>
    <w:qFormat/>
    <w:uiPriority w:val="0"/>
    <w:pPr>
      <w:adjustRightInd w:val="0"/>
      <w:snapToGrid w:val="0"/>
      <w:spacing w:line="300" w:lineRule="auto"/>
      <w:ind w:firstLine="480" w:firstLineChars="200"/>
    </w:pPr>
    <w:rPr>
      <w:rFonts w:eastAsia="华文中宋" w:cs="宋体"/>
      <w:snapToGrid w:val="0"/>
      <w:kern w:val="0"/>
      <w:sz w:val="24"/>
    </w:rPr>
  </w:style>
  <w:style w:type="paragraph" w:customStyle="1" w:styleId="138">
    <w:name w:val="方案正文"/>
    <w:basedOn w:val="1"/>
    <w:link w:val="139"/>
    <w:qFormat/>
    <w:uiPriority w:val="0"/>
    <w:pPr>
      <w:spacing w:line="360" w:lineRule="auto"/>
      <w:ind w:firstLine="480" w:firstLineChars="200"/>
      <w:jc w:val="left"/>
    </w:pPr>
    <w:rPr>
      <w:rFonts w:ascii="宋体"/>
      <w:sz w:val="24"/>
      <w:szCs w:val="24"/>
    </w:rPr>
  </w:style>
  <w:style w:type="character" w:customStyle="1" w:styleId="139">
    <w:name w:val="方案正文 Char"/>
    <w:link w:val="138"/>
    <w:qFormat/>
    <w:uiPriority w:val="0"/>
    <w:rPr>
      <w:rFonts w:ascii="宋体" w:eastAsia="宋体"/>
      <w:kern w:val="2"/>
      <w:sz w:val="24"/>
      <w:szCs w:val="24"/>
      <w:lang w:val="en-US" w:eastAsia="zh-CN" w:bidi="ar-SA"/>
    </w:rPr>
  </w:style>
  <w:style w:type="paragraph" w:customStyle="1" w:styleId="140">
    <w:name w:val="Char1 Char Char Char Char Char Char Char Char Char"/>
    <w:basedOn w:val="1"/>
    <w:qFormat/>
    <w:uiPriority w:val="0"/>
    <w:rPr>
      <w:sz w:val="30"/>
      <w:szCs w:val="24"/>
    </w:rPr>
  </w:style>
  <w:style w:type="paragraph" w:customStyle="1" w:styleId="141">
    <w:name w:val="样式 标题 6 + 行距: 1.5 倍行距"/>
    <w:basedOn w:val="10"/>
    <w:link w:val="142"/>
    <w:qFormat/>
    <w:uiPriority w:val="0"/>
    <w:pPr>
      <w:adjustRightInd w:val="0"/>
      <w:spacing w:before="0" w:after="0" w:line="360" w:lineRule="auto"/>
      <w:jc w:val="left"/>
      <w:textAlignment w:val="baseline"/>
    </w:pPr>
    <w:rPr>
      <w:szCs w:val="28"/>
    </w:rPr>
  </w:style>
  <w:style w:type="character" w:customStyle="1" w:styleId="142">
    <w:name w:val="样式 标题 6 + 行距: 1.5 倍行距 Char"/>
    <w:link w:val="141"/>
    <w:qFormat/>
    <w:uiPriority w:val="0"/>
    <w:rPr>
      <w:rFonts w:ascii="Arial" w:hAnsi="Arial" w:eastAsia="黑体"/>
      <w:b/>
      <w:bCs/>
      <w:kern w:val="2"/>
      <w:sz w:val="24"/>
      <w:szCs w:val="28"/>
      <w:lang w:val="en-US" w:eastAsia="zh-CN" w:bidi="ar-SA"/>
    </w:rPr>
  </w:style>
  <w:style w:type="paragraph" w:customStyle="1" w:styleId="143">
    <w:name w:val="xl42"/>
    <w:basedOn w:val="1"/>
    <w:qFormat/>
    <w:uiPriority w:val="0"/>
    <w:pPr>
      <w:widowControl/>
      <w:pBdr>
        <w:left w:val="single" w:color="000000" w:sz="8" w:space="0"/>
        <w:right w:val="single" w:color="000000" w:sz="8"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144">
    <w:name w:val="cjk"/>
    <w:basedOn w:val="1"/>
    <w:qFormat/>
    <w:uiPriority w:val="0"/>
    <w:pPr>
      <w:widowControl/>
      <w:spacing w:before="284" w:after="100" w:afterAutospacing="1" w:line="360" w:lineRule="auto"/>
      <w:jc w:val="left"/>
    </w:pPr>
    <w:rPr>
      <w:rFonts w:ascii="宋体" w:hAnsi="宋体" w:cs="宋体"/>
      <w:kern w:val="0"/>
      <w:sz w:val="22"/>
      <w:szCs w:val="22"/>
    </w:rPr>
  </w:style>
  <w:style w:type="paragraph" w:customStyle="1" w:styleId="145">
    <w:name w:val="样式 目录 3 + 首行缩进:  2 字符"/>
    <w:basedOn w:val="32"/>
    <w:qFormat/>
    <w:uiPriority w:val="0"/>
    <w:pPr>
      <w:adjustRightInd w:val="0"/>
      <w:snapToGrid w:val="0"/>
      <w:spacing w:line="300" w:lineRule="auto"/>
      <w:ind w:left="0" w:firstLine="200" w:firstLineChars="200"/>
    </w:pPr>
    <w:rPr>
      <w:rFonts w:ascii="华文中宋" w:hAnsi="华文中宋" w:eastAsia="华文中宋" w:cs="宋体"/>
      <w:i w:val="0"/>
      <w:snapToGrid w:val="0"/>
      <w:color w:val="008000"/>
      <w:kern w:val="0"/>
      <w:sz w:val="21"/>
    </w:rPr>
  </w:style>
  <w:style w:type="paragraph" w:customStyle="1" w:styleId="146">
    <w:name w:val="Char Char"/>
    <w:basedOn w:val="1"/>
    <w:qFormat/>
    <w:uiPriority w:val="0"/>
    <w:pPr>
      <w:tabs>
        <w:tab w:val="left" w:pos="810"/>
        <w:tab w:val="left" w:pos="1200"/>
      </w:tabs>
      <w:ind w:left="810" w:leftChars="400" w:hanging="200" w:hangingChars="200"/>
    </w:pPr>
    <w:rPr>
      <w:szCs w:val="24"/>
    </w:rPr>
  </w:style>
  <w:style w:type="paragraph" w:customStyle="1" w:styleId="147">
    <w:name w:val="Char"/>
    <w:basedOn w:val="1"/>
    <w:qFormat/>
    <w:uiPriority w:val="0"/>
    <w:pPr>
      <w:ind w:left="567" w:hanging="279"/>
    </w:pPr>
    <w:rPr>
      <w:sz w:val="24"/>
      <w:szCs w:val="24"/>
    </w:rPr>
  </w:style>
  <w:style w:type="paragraph" w:customStyle="1" w:styleId="148">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Unicode MS" w:hAnsi="Arial Unicode MS" w:eastAsia="Arial Unicode MS" w:cs="Arial Unicode MS"/>
      <w:kern w:val="0"/>
      <w:sz w:val="22"/>
      <w:szCs w:val="22"/>
      <w:lang w:eastAsia="en-US"/>
    </w:rPr>
  </w:style>
  <w:style w:type="paragraph" w:customStyle="1" w:styleId="149">
    <w:name w:val="xl26"/>
    <w:basedOn w:val="1"/>
    <w:qFormat/>
    <w:uiPriority w:val="0"/>
    <w:pPr>
      <w:widowControl/>
      <w:pBdr>
        <w:top w:val="single" w:color="000000" w:sz="4" w:space="0"/>
        <w:left w:val="single" w:color="000000" w:sz="8" w:space="0"/>
        <w:bottom w:val="single" w:color="000000" w:sz="4" w:space="0"/>
        <w:right w:val="single" w:color="000000" w:sz="4"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150">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eastAsia="Arial Unicode MS" w:cs="Arial"/>
      <w:kern w:val="0"/>
      <w:sz w:val="22"/>
      <w:szCs w:val="22"/>
      <w:lang w:eastAsia="en-US"/>
    </w:rPr>
  </w:style>
  <w:style w:type="paragraph" w:customStyle="1" w:styleId="151">
    <w:name w:val="表格居中"/>
    <w:basedOn w:val="1"/>
    <w:link w:val="152"/>
    <w:qFormat/>
    <w:uiPriority w:val="0"/>
    <w:pPr>
      <w:adjustRightInd w:val="0"/>
      <w:snapToGrid w:val="0"/>
      <w:jc w:val="center"/>
    </w:pPr>
    <w:rPr>
      <w:rFonts w:ascii="华文中宋" w:eastAsia="华文中宋" w:cs="Angsana New"/>
      <w:szCs w:val="21"/>
    </w:rPr>
  </w:style>
  <w:style w:type="character" w:customStyle="1" w:styleId="152">
    <w:name w:val="表格居中 Char"/>
    <w:link w:val="151"/>
    <w:qFormat/>
    <w:uiPriority w:val="0"/>
    <w:rPr>
      <w:rFonts w:ascii="华文中宋" w:eastAsia="华文中宋" w:cs="Angsana New"/>
      <w:kern w:val="2"/>
      <w:sz w:val="21"/>
      <w:szCs w:val="21"/>
      <w:lang w:val="en-US" w:eastAsia="zh-CN" w:bidi="ar-SA"/>
    </w:rPr>
  </w:style>
  <w:style w:type="paragraph" w:customStyle="1" w:styleId="153">
    <w:name w:val="xl30"/>
    <w:basedOn w:val="1"/>
    <w:qFormat/>
    <w:uiPriority w:val="0"/>
    <w:pPr>
      <w:widowControl/>
      <w:pBdr>
        <w:top w:val="single" w:color="000000" w:sz="4" w:space="0"/>
        <w:left w:val="single" w:color="000000" w:sz="4" w:space="0"/>
        <w:bottom w:val="single" w:color="000000" w:sz="4" w:space="0"/>
        <w:right w:val="single" w:color="000000" w:sz="8"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154">
    <w:name w:val="公文抬头"/>
    <w:basedOn w:val="5"/>
    <w:qFormat/>
    <w:uiPriority w:val="0"/>
    <w:pPr>
      <w:ind w:firstLine="0" w:firstLineChars="0"/>
    </w:pPr>
    <w:rPr>
      <w:rFonts w:ascii="仿宋_GB2312" w:eastAsia="仿宋_GB2312"/>
      <w:sz w:val="30"/>
      <w:szCs w:val="24"/>
    </w:rPr>
  </w:style>
  <w:style w:type="paragraph" w:customStyle="1" w:styleId="155">
    <w:name w:val="hei2"/>
    <w:basedOn w:val="1"/>
    <w:qFormat/>
    <w:uiPriority w:val="0"/>
    <w:pPr>
      <w:widowControl/>
      <w:spacing w:before="100" w:beforeAutospacing="1" w:after="100" w:afterAutospacing="1" w:line="210" w:lineRule="atLeast"/>
      <w:jc w:val="left"/>
    </w:pPr>
    <w:rPr>
      <w:rFonts w:ascii="宋体" w:hAnsi="宋体" w:cs="宋体"/>
      <w:color w:val="0033FF"/>
      <w:kern w:val="0"/>
      <w:sz w:val="18"/>
      <w:szCs w:val="18"/>
    </w:rPr>
  </w:style>
  <w:style w:type="paragraph" w:customStyle="1" w:styleId="156">
    <w:name w:val="註解方塊文字1"/>
    <w:basedOn w:val="1"/>
    <w:qFormat/>
    <w:uiPriority w:val="0"/>
    <w:rPr>
      <w:sz w:val="18"/>
    </w:rPr>
  </w:style>
  <w:style w:type="paragraph" w:customStyle="1" w:styleId="157">
    <w:name w:val="1"/>
    <w:basedOn w:val="1"/>
    <w:next w:val="5"/>
    <w:qFormat/>
    <w:uiPriority w:val="0"/>
    <w:pPr>
      <w:ind w:firstLine="420"/>
    </w:pPr>
  </w:style>
  <w:style w:type="paragraph" w:customStyle="1" w:styleId="158">
    <w:name w:val="样式 样式 样式 样式 样式 标题 3 + 仿宋_GB2312 行距: 固定值 28 磅 + 首行缩进:  1.92 字符 + ..."/>
    <w:basedOn w:val="1"/>
    <w:qFormat/>
    <w:uiPriority w:val="0"/>
    <w:pPr>
      <w:keepNext/>
      <w:keepLines/>
      <w:spacing w:before="240" w:after="240" w:line="560" w:lineRule="exact"/>
      <w:ind w:firstLine="540" w:firstLineChars="150"/>
      <w:outlineLvl w:val="2"/>
    </w:pPr>
    <w:rPr>
      <w:rFonts w:ascii="仿宋_GB2312"/>
      <w:b/>
      <w:sz w:val="36"/>
    </w:rPr>
  </w:style>
  <w:style w:type="paragraph" w:customStyle="1" w:styleId="159">
    <w:name w:val="样式 首行缩进:  2 字符8"/>
    <w:basedOn w:val="1"/>
    <w:link w:val="160"/>
    <w:qFormat/>
    <w:uiPriority w:val="0"/>
    <w:pPr>
      <w:adjustRightInd w:val="0"/>
      <w:snapToGrid w:val="0"/>
      <w:spacing w:line="300" w:lineRule="auto"/>
      <w:ind w:firstLine="480" w:firstLineChars="200"/>
    </w:pPr>
    <w:rPr>
      <w:rFonts w:ascii="华文中宋" w:eastAsia="华文中宋" w:cs="宋体"/>
      <w:snapToGrid w:val="0"/>
      <w:sz w:val="24"/>
      <w:szCs w:val="24"/>
    </w:rPr>
  </w:style>
  <w:style w:type="character" w:customStyle="1" w:styleId="160">
    <w:name w:val="样式 首行缩进:  2 字符8 Char"/>
    <w:link w:val="159"/>
    <w:qFormat/>
    <w:uiPriority w:val="0"/>
    <w:rPr>
      <w:rFonts w:ascii="华文中宋" w:eastAsia="华文中宋" w:cs="宋体"/>
      <w:snapToGrid w:val="0"/>
      <w:sz w:val="24"/>
      <w:szCs w:val="24"/>
      <w:lang w:val="en-US" w:eastAsia="zh-CN" w:bidi="ar-SA"/>
    </w:rPr>
  </w:style>
  <w:style w:type="paragraph" w:customStyle="1" w:styleId="161">
    <w:name w:val="Char2 Char Char Char"/>
    <w:basedOn w:val="1"/>
    <w:qFormat/>
    <w:uiPriority w:val="0"/>
    <w:pPr>
      <w:spacing w:line="360" w:lineRule="auto"/>
      <w:jc w:val="center"/>
    </w:pPr>
    <w:rPr>
      <w:rFonts w:ascii="宋体" w:hAnsi="宋体"/>
      <w:sz w:val="24"/>
      <w:szCs w:val="24"/>
    </w:rPr>
  </w:style>
  <w:style w:type="paragraph" w:customStyle="1" w:styleId="162">
    <w:name w:val="Char Char Char Char Char Char Char Char Char Char Char Char Char Char Char Char Char Char1 Char Char Char Char Char Char Char Char Char Char Char Char Char"/>
    <w:basedOn w:val="1"/>
    <w:qFormat/>
    <w:uiPriority w:val="0"/>
    <w:pPr>
      <w:spacing w:line="360" w:lineRule="auto"/>
      <w:jc w:val="left"/>
    </w:pPr>
    <w:rPr>
      <w:rFonts w:eastAsia="仿宋_GB2312"/>
      <w:b/>
      <w:sz w:val="32"/>
      <w:szCs w:val="24"/>
    </w:rPr>
  </w:style>
  <w:style w:type="paragraph" w:customStyle="1" w:styleId="163">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164">
    <w:name w:val="xl43"/>
    <w:basedOn w:val="1"/>
    <w:qFormat/>
    <w:uiPriority w:val="0"/>
    <w:pPr>
      <w:widowControl/>
      <w:pBdr>
        <w:top w:val="single" w:color="000000" w:sz="8" w:space="0"/>
        <w:left w:val="single" w:color="000000" w:sz="8" w:space="0"/>
        <w:right w:val="single" w:color="000000" w:sz="8"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165">
    <w:name w:val="Char2"/>
    <w:basedOn w:val="1"/>
    <w:qFormat/>
    <w:uiPriority w:val="0"/>
    <w:pPr>
      <w:spacing w:line="360" w:lineRule="auto"/>
      <w:jc w:val="left"/>
    </w:pPr>
    <w:rPr>
      <w:rFonts w:eastAsia="仿宋_GB2312"/>
      <w:b/>
      <w:sz w:val="32"/>
      <w:szCs w:val="24"/>
    </w:rPr>
  </w:style>
  <w:style w:type="paragraph" w:customStyle="1" w:styleId="166">
    <w:name w:val="Report List"/>
    <w:basedOn w:val="167"/>
    <w:qFormat/>
    <w:uiPriority w:val="0"/>
    <w:pPr>
      <w:spacing w:after="0" w:line="240" w:lineRule="auto"/>
    </w:pPr>
  </w:style>
  <w:style w:type="paragraph" w:customStyle="1" w:styleId="167">
    <w:name w:val="Report Text"/>
    <w:qFormat/>
    <w:uiPriority w:val="0"/>
    <w:pPr>
      <w:spacing w:after="120" w:line="260" w:lineRule="atLeast"/>
      <w:ind w:left="1253"/>
    </w:pPr>
    <w:rPr>
      <w:rFonts w:ascii="Swis721 BT" w:hAnsi="Swis721 BT" w:eastAsia="宋体" w:cs="Times New Roman"/>
      <w:sz w:val="24"/>
      <w:lang w:val="en-US" w:eastAsia="en-US" w:bidi="ar-SA"/>
    </w:rPr>
  </w:style>
  <w:style w:type="paragraph" w:customStyle="1" w:styleId="168">
    <w:name w:val="xl40"/>
    <w:basedOn w:val="1"/>
    <w:qFormat/>
    <w:uiPriority w:val="0"/>
    <w:pPr>
      <w:widowControl/>
      <w:pBdr>
        <w:top w:val="single" w:color="000000" w:sz="4" w:space="0"/>
        <w:left w:val="single" w:color="000000" w:sz="4" w:space="0"/>
        <w:bottom w:val="single" w:color="000000" w:sz="4" w:space="0"/>
        <w:right w:val="single" w:color="000000" w:sz="8"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169">
    <w:name w:val="Char1 Char Char Char"/>
    <w:basedOn w:val="1"/>
    <w:qFormat/>
    <w:uiPriority w:val="0"/>
    <w:pPr>
      <w:spacing w:line="360" w:lineRule="auto"/>
      <w:jc w:val="left"/>
    </w:pPr>
    <w:rPr>
      <w:rFonts w:eastAsia="仿宋_GB2312"/>
      <w:b/>
      <w:sz w:val="32"/>
      <w:szCs w:val="24"/>
    </w:rPr>
  </w:style>
  <w:style w:type="paragraph" w:customStyle="1" w:styleId="170">
    <w:name w:val="foot_c"/>
    <w:basedOn w:val="1"/>
    <w:qFormat/>
    <w:uiPriority w:val="0"/>
    <w:pPr>
      <w:widowControl/>
      <w:spacing w:before="100" w:beforeAutospacing="1" w:after="100" w:afterAutospacing="1" w:line="270" w:lineRule="atLeast"/>
      <w:jc w:val="left"/>
    </w:pPr>
    <w:rPr>
      <w:rFonts w:ascii="宋体" w:hAnsi="宋体" w:cs="宋体"/>
      <w:color w:val="000000"/>
      <w:kern w:val="0"/>
      <w:sz w:val="18"/>
      <w:szCs w:val="18"/>
    </w:rPr>
  </w:style>
  <w:style w:type="paragraph" w:customStyle="1" w:styleId="171">
    <w:name w:val="cjk2"/>
    <w:basedOn w:val="1"/>
    <w:qFormat/>
    <w:uiPriority w:val="0"/>
    <w:pPr>
      <w:widowControl/>
      <w:spacing w:before="284" w:line="360" w:lineRule="auto"/>
      <w:jc w:val="left"/>
    </w:pPr>
    <w:rPr>
      <w:rFonts w:ascii="宋体" w:hAnsi="宋体" w:cs="宋体"/>
      <w:kern w:val="0"/>
      <w:sz w:val="22"/>
      <w:szCs w:val="22"/>
    </w:rPr>
  </w:style>
  <w:style w:type="paragraph" w:customStyle="1" w:styleId="172">
    <w:name w:val="默认段落字体 Para Char Char Char Char"/>
    <w:basedOn w:val="1"/>
    <w:qFormat/>
    <w:uiPriority w:val="0"/>
    <w:pPr>
      <w:spacing w:line="360" w:lineRule="auto"/>
      <w:ind w:firstLine="200" w:firstLineChars="200"/>
    </w:pPr>
    <w:rPr>
      <w:rFonts w:ascii="宋体" w:hAnsi="宋体" w:cs="宋体"/>
      <w:sz w:val="24"/>
      <w:szCs w:val="24"/>
    </w:rPr>
  </w:style>
  <w:style w:type="paragraph" w:customStyle="1" w:styleId="173">
    <w:name w:val="框图文字"/>
    <w:basedOn w:val="1"/>
    <w:link w:val="174"/>
    <w:qFormat/>
    <w:uiPriority w:val="0"/>
    <w:pPr>
      <w:adjustRightInd w:val="0"/>
      <w:snapToGrid w:val="0"/>
      <w:jc w:val="center"/>
    </w:pPr>
    <w:rPr>
      <w:rFonts w:ascii="宋体" w:hAnsi="Courier New" w:eastAsia="华文中宋"/>
      <w:snapToGrid w:val="0"/>
    </w:rPr>
  </w:style>
  <w:style w:type="character" w:customStyle="1" w:styleId="174">
    <w:name w:val="框图文字 Char"/>
    <w:link w:val="173"/>
    <w:qFormat/>
    <w:uiPriority w:val="0"/>
    <w:rPr>
      <w:rFonts w:ascii="宋体" w:hAnsi="Courier New" w:eastAsia="华文中宋"/>
      <w:snapToGrid w:val="0"/>
      <w:sz w:val="21"/>
      <w:lang w:val="en-US" w:eastAsia="zh-CN" w:bidi="ar-SA"/>
    </w:rPr>
  </w:style>
  <w:style w:type="paragraph" w:customStyle="1" w:styleId="175">
    <w:name w:val="xl33"/>
    <w:basedOn w:val="1"/>
    <w:qFormat/>
    <w:uiPriority w:val="0"/>
    <w:pPr>
      <w:widowControl/>
      <w:pBdr>
        <w:top w:val="single" w:color="000000" w:sz="4" w:space="0"/>
        <w:left w:val="single" w:color="000000" w:sz="4" w:space="0"/>
        <w:bottom w:val="single" w:color="000000" w:sz="8" w:space="0"/>
        <w:right w:val="single" w:color="000000" w:sz="4"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176">
    <w:name w:val="font6"/>
    <w:basedOn w:val="1"/>
    <w:qFormat/>
    <w:uiPriority w:val="0"/>
    <w:pPr>
      <w:widowControl/>
      <w:spacing w:before="100" w:beforeAutospacing="1" w:after="100" w:afterAutospacing="1"/>
      <w:jc w:val="left"/>
    </w:pPr>
    <w:rPr>
      <w:rFonts w:hint="eastAsia" w:ascii="宋体" w:hAnsi="宋体"/>
      <w:kern w:val="0"/>
      <w:sz w:val="20"/>
    </w:rPr>
  </w:style>
  <w:style w:type="paragraph" w:customStyle="1" w:styleId="177">
    <w:name w:val="cjk1"/>
    <w:basedOn w:val="1"/>
    <w:qFormat/>
    <w:uiPriority w:val="0"/>
    <w:pPr>
      <w:widowControl/>
      <w:spacing w:before="284" w:line="360" w:lineRule="auto"/>
      <w:jc w:val="left"/>
    </w:pPr>
    <w:rPr>
      <w:rFonts w:ascii="宋体" w:hAnsi="宋体" w:cs="宋体"/>
      <w:kern w:val="0"/>
      <w:sz w:val="22"/>
      <w:szCs w:val="22"/>
    </w:rPr>
  </w:style>
  <w:style w:type="paragraph" w:customStyle="1" w:styleId="178">
    <w:name w:val="默认段落字体 Para Char"/>
    <w:basedOn w:val="1"/>
    <w:qFormat/>
    <w:uiPriority w:val="0"/>
    <w:pPr>
      <w:spacing w:line="360" w:lineRule="auto"/>
      <w:jc w:val="left"/>
    </w:pPr>
    <w:rPr>
      <w:rFonts w:eastAsia="仿宋_GB2312"/>
      <w:b/>
      <w:sz w:val="32"/>
      <w:szCs w:val="24"/>
    </w:rPr>
  </w:style>
  <w:style w:type="paragraph" w:customStyle="1" w:styleId="179">
    <w:name w:val="註解主旨1"/>
    <w:basedOn w:val="21"/>
    <w:next w:val="21"/>
    <w:qFormat/>
    <w:uiPriority w:val="0"/>
    <w:rPr>
      <w:b/>
    </w:rPr>
  </w:style>
  <w:style w:type="paragraph" w:customStyle="1" w:styleId="180">
    <w:name w:val="表格文字"/>
    <w:basedOn w:val="181"/>
    <w:link w:val="183"/>
    <w:qFormat/>
    <w:uiPriority w:val="0"/>
    <w:pPr>
      <w:ind w:firstLine="200" w:firstLineChars="200"/>
      <w:jc w:val="both"/>
    </w:pPr>
    <w:rPr>
      <w:bCs/>
    </w:rPr>
  </w:style>
  <w:style w:type="paragraph" w:customStyle="1" w:styleId="181">
    <w:name w:val="表格对中"/>
    <w:basedOn w:val="1"/>
    <w:link w:val="182"/>
    <w:qFormat/>
    <w:uiPriority w:val="0"/>
    <w:pPr>
      <w:adjustRightInd w:val="0"/>
      <w:snapToGrid w:val="0"/>
      <w:jc w:val="center"/>
    </w:pPr>
    <w:rPr>
      <w:rFonts w:eastAsia="华文中宋"/>
      <w:snapToGrid w:val="0"/>
      <w:color w:val="000000"/>
      <w:szCs w:val="24"/>
    </w:rPr>
  </w:style>
  <w:style w:type="character" w:customStyle="1" w:styleId="182">
    <w:name w:val="表格对中 Char"/>
    <w:link w:val="181"/>
    <w:qFormat/>
    <w:uiPriority w:val="0"/>
    <w:rPr>
      <w:rFonts w:eastAsia="华文中宋"/>
      <w:snapToGrid w:val="0"/>
      <w:color w:val="000000"/>
      <w:sz w:val="21"/>
      <w:szCs w:val="24"/>
      <w:lang w:val="en-US" w:eastAsia="zh-CN" w:bidi="ar-SA"/>
    </w:rPr>
  </w:style>
  <w:style w:type="character" w:customStyle="1" w:styleId="183">
    <w:name w:val="表格文字 Char"/>
    <w:link w:val="180"/>
    <w:qFormat/>
    <w:uiPriority w:val="0"/>
    <w:rPr>
      <w:rFonts w:eastAsia="华文中宋"/>
      <w:bCs/>
      <w:snapToGrid w:val="0"/>
      <w:color w:val="000000"/>
      <w:sz w:val="21"/>
      <w:szCs w:val="24"/>
      <w:lang w:val="en-US" w:eastAsia="zh-CN" w:bidi="ar-SA"/>
    </w:rPr>
  </w:style>
  <w:style w:type="paragraph" w:customStyle="1" w:styleId="184">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rPr>
  </w:style>
  <w:style w:type="paragraph" w:customStyle="1" w:styleId="185">
    <w:name w:val="发文落款"/>
    <w:basedOn w:val="186"/>
    <w:qFormat/>
    <w:uiPriority w:val="0"/>
    <w:pPr>
      <w:ind w:left="4094" w:right="607" w:firstLine="0"/>
      <w:jc w:val="center"/>
    </w:pPr>
  </w:style>
  <w:style w:type="paragraph" w:customStyle="1" w:styleId="186">
    <w:name w:val="公文正文"/>
    <w:qFormat/>
    <w:uiPriority w:val="0"/>
    <w:pPr>
      <w:widowControl w:val="0"/>
      <w:spacing w:line="360" w:lineRule="auto"/>
      <w:ind w:firstLine="629"/>
      <w:jc w:val="both"/>
    </w:pPr>
    <w:rPr>
      <w:rFonts w:ascii="仿宋_GB2312" w:hAnsi="Calisto MT" w:eastAsia="仿宋_GB2312" w:cs="Times New Roman"/>
      <w:color w:val="000000"/>
      <w:sz w:val="32"/>
      <w:lang w:val="en-US" w:eastAsia="zh-CN" w:bidi="ar-SA"/>
    </w:rPr>
  </w:style>
  <w:style w:type="paragraph" w:customStyle="1" w:styleId="187">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eastAsia="Arial Unicode MS" w:cs="Arial"/>
      <w:b/>
      <w:bCs/>
      <w:kern w:val="0"/>
      <w:sz w:val="22"/>
      <w:szCs w:val="22"/>
      <w:lang w:eastAsia="en-US"/>
    </w:rPr>
  </w:style>
  <w:style w:type="paragraph" w:customStyle="1" w:styleId="188">
    <w:name w:val="Char Char Char Char Char Char Char Char Char Char Char Char Char Char Char Char Char Char1 Char Char Char Char Char Char Char Char Char Char"/>
    <w:basedOn w:val="1"/>
    <w:qFormat/>
    <w:uiPriority w:val="0"/>
    <w:pPr>
      <w:spacing w:line="360" w:lineRule="auto"/>
      <w:jc w:val="left"/>
    </w:pPr>
    <w:rPr>
      <w:rFonts w:eastAsia="仿宋_GB2312"/>
      <w:b/>
      <w:sz w:val="32"/>
      <w:szCs w:val="24"/>
    </w:rPr>
  </w:style>
  <w:style w:type="paragraph" w:customStyle="1" w:styleId="189">
    <w:name w:val="xl59"/>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Arial" w:hAnsi="Arial" w:eastAsia="Arial Unicode MS" w:cs="Arial"/>
      <w:b/>
      <w:bCs/>
      <w:kern w:val="0"/>
      <w:sz w:val="22"/>
      <w:szCs w:val="22"/>
      <w:u w:val="single"/>
      <w:lang w:eastAsia="en-US"/>
    </w:rPr>
  </w:style>
  <w:style w:type="paragraph" w:customStyle="1" w:styleId="190">
    <w:name w:val="表格左对齐"/>
    <w:basedOn w:val="151"/>
    <w:link w:val="191"/>
    <w:qFormat/>
    <w:uiPriority w:val="0"/>
    <w:pPr>
      <w:adjustRightInd/>
      <w:snapToGrid/>
      <w:jc w:val="left"/>
    </w:pPr>
  </w:style>
  <w:style w:type="character" w:customStyle="1" w:styleId="191">
    <w:name w:val="表格左对齐 Char"/>
    <w:link w:val="190"/>
    <w:qFormat/>
    <w:uiPriority w:val="0"/>
    <w:rPr>
      <w:rFonts w:ascii="华文中宋" w:eastAsia="华文中宋" w:cs="Angsana New"/>
      <w:kern w:val="2"/>
      <w:sz w:val="21"/>
      <w:szCs w:val="21"/>
      <w:lang w:val="en-US" w:eastAsia="zh-CN" w:bidi="ar-SA"/>
    </w:rPr>
  </w:style>
  <w:style w:type="paragraph" w:customStyle="1" w:styleId="192">
    <w:name w:val="Char1 Char Char Char Char Char Char1"/>
    <w:basedOn w:val="1"/>
    <w:qFormat/>
    <w:uiPriority w:val="0"/>
    <w:rPr>
      <w:sz w:val="30"/>
      <w:szCs w:val="24"/>
    </w:rPr>
  </w:style>
  <w:style w:type="paragraph" w:customStyle="1" w:styleId="193">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eastAsia="Arial Unicode MS" w:cs="Arial"/>
      <w:b/>
      <w:bCs/>
      <w:kern w:val="0"/>
      <w:sz w:val="22"/>
      <w:szCs w:val="22"/>
      <w:lang w:eastAsia="en-US"/>
    </w:rPr>
  </w:style>
  <w:style w:type="paragraph" w:customStyle="1" w:styleId="194">
    <w:name w:val="菲页(卷)"/>
    <w:basedOn w:val="3"/>
    <w:next w:val="163"/>
    <w:qFormat/>
    <w:uiPriority w:val="0"/>
    <w:pPr>
      <w:widowControl/>
      <w:tabs>
        <w:tab w:val="left" w:pos="432"/>
      </w:tabs>
      <w:spacing w:before="0" w:after="0" w:line="240" w:lineRule="auto"/>
      <w:ind w:left="432" w:leftChars="100" w:hanging="432"/>
      <w:outlineLvl w:val="1"/>
    </w:pPr>
    <w:rPr>
      <w:rFonts w:ascii="黑体" w:hAnsi="Times New Roman" w:eastAsia="黑体"/>
      <w:color w:val="auto"/>
      <w:kern w:val="0"/>
      <w:sz w:val="52"/>
      <w:szCs w:val="20"/>
    </w:rPr>
  </w:style>
  <w:style w:type="paragraph" w:customStyle="1" w:styleId="195">
    <w:name w:val="样式 样式 首行缩进:  2 字符 + 首行缩进:  2 字符"/>
    <w:basedOn w:val="196"/>
    <w:qFormat/>
    <w:uiPriority w:val="0"/>
    <w:pPr>
      <w:ind w:firstLine="480"/>
    </w:pPr>
  </w:style>
  <w:style w:type="paragraph" w:customStyle="1" w:styleId="196">
    <w:name w:val="样式 首行缩进:  2 字符"/>
    <w:basedOn w:val="1"/>
    <w:qFormat/>
    <w:uiPriority w:val="0"/>
    <w:pPr>
      <w:adjustRightInd w:val="0"/>
      <w:snapToGrid w:val="0"/>
      <w:spacing w:line="300" w:lineRule="auto"/>
      <w:ind w:firstLine="200" w:firstLineChars="200"/>
    </w:pPr>
    <w:rPr>
      <w:rFonts w:eastAsia="华文中宋" w:cs="宋体"/>
      <w:snapToGrid w:val="0"/>
      <w:kern w:val="0"/>
      <w:sz w:val="24"/>
    </w:rPr>
  </w:style>
  <w:style w:type="paragraph" w:customStyle="1" w:styleId="197">
    <w:name w:val="列出段落2"/>
    <w:basedOn w:val="1"/>
    <w:qFormat/>
    <w:uiPriority w:val="0"/>
    <w:pPr>
      <w:numPr>
        <w:ilvl w:val="1"/>
        <w:numId w:val="1"/>
      </w:numPr>
      <w:tabs>
        <w:tab w:val="left" w:pos="420"/>
        <w:tab w:val="left" w:pos="840"/>
      </w:tabs>
      <w:adjustRightInd w:val="0"/>
      <w:spacing w:line="360" w:lineRule="auto"/>
      <w:textAlignment w:val="baseline"/>
    </w:pPr>
    <w:rPr>
      <w:szCs w:val="21"/>
    </w:rPr>
  </w:style>
  <w:style w:type="paragraph" w:customStyle="1" w:styleId="198">
    <w:name w:val="font9"/>
    <w:basedOn w:val="1"/>
    <w:qFormat/>
    <w:uiPriority w:val="0"/>
    <w:pPr>
      <w:widowControl/>
      <w:spacing w:before="100" w:beforeAutospacing="1" w:after="100" w:afterAutospacing="1"/>
      <w:jc w:val="left"/>
    </w:pPr>
    <w:rPr>
      <w:rFonts w:eastAsia="Arial Unicode MS"/>
      <w:kern w:val="0"/>
      <w:sz w:val="18"/>
      <w:szCs w:val="18"/>
      <w:lang w:eastAsia="en-US"/>
    </w:rPr>
  </w:style>
  <w:style w:type="paragraph" w:customStyle="1" w:styleId="199">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eastAsia="Arial Unicode MS" w:cs="Arial"/>
      <w:kern w:val="0"/>
      <w:sz w:val="22"/>
      <w:szCs w:val="22"/>
      <w:lang w:eastAsia="en-US"/>
    </w:rPr>
  </w:style>
  <w:style w:type="paragraph" w:customStyle="1" w:styleId="200">
    <w:name w:val="xl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w:hAnsi="Arial" w:eastAsia="Arial Unicode MS" w:cs="Arial"/>
      <w:kern w:val="0"/>
      <w:sz w:val="22"/>
      <w:szCs w:val="22"/>
      <w:lang w:eastAsia="en-US"/>
    </w:rPr>
  </w:style>
  <w:style w:type="paragraph" w:customStyle="1" w:styleId="201">
    <w:name w:val="Char Char Char Char"/>
    <w:basedOn w:val="1"/>
    <w:qFormat/>
    <w:uiPriority w:val="0"/>
    <w:pPr>
      <w:spacing w:line="360" w:lineRule="auto"/>
      <w:jc w:val="left"/>
    </w:pPr>
    <w:rPr>
      <w:rFonts w:eastAsia="仿宋_GB2312"/>
      <w:b/>
      <w:sz w:val="32"/>
      <w:szCs w:val="24"/>
    </w:rPr>
  </w:style>
  <w:style w:type="paragraph" w:customStyle="1" w:styleId="202">
    <w:name w:val="font0"/>
    <w:basedOn w:val="1"/>
    <w:qFormat/>
    <w:uiPriority w:val="0"/>
    <w:pPr>
      <w:widowControl/>
      <w:tabs>
        <w:tab w:val="left" w:pos="960"/>
      </w:tabs>
      <w:spacing w:before="100" w:beforeAutospacing="1" w:after="100" w:afterAutospacing="1"/>
      <w:jc w:val="left"/>
    </w:pPr>
    <w:rPr>
      <w:rFonts w:hint="eastAsia" w:ascii="宋体" w:hAnsi="宋体"/>
      <w:kern w:val="0"/>
      <w:sz w:val="24"/>
      <w:szCs w:val="24"/>
    </w:rPr>
  </w:style>
  <w:style w:type="paragraph" w:customStyle="1" w:styleId="203">
    <w:name w:val="Blockquote"/>
    <w:basedOn w:val="1"/>
    <w:qFormat/>
    <w:uiPriority w:val="0"/>
    <w:pPr>
      <w:autoSpaceDE w:val="0"/>
      <w:autoSpaceDN w:val="0"/>
      <w:adjustRightInd w:val="0"/>
      <w:spacing w:before="100" w:after="100"/>
      <w:ind w:left="360" w:right="360"/>
      <w:jc w:val="left"/>
    </w:pPr>
    <w:rPr>
      <w:kern w:val="0"/>
      <w:sz w:val="24"/>
    </w:rPr>
  </w:style>
  <w:style w:type="paragraph" w:customStyle="1" w:styleId="204">
    <w:name w:val="表头"/>
    <w:basedOn w:val="1"/>
    <w:qFormat/>
    <w:uiPriority w:val="0"/>
    <w:pPr>
      <w:spacing w:line="360" w:lineRule="auto"/>
      <w:jc w:val="center"/>
    </w:pPr>
    <w:rPr>
      <w:rFonts w:ascii="黑体" w:eastAsia="黑体"/>
      <w:kern w:val="0"/>
      <w:sz w:val="24"/>
    </w:rPr>
  </w:style>
  <w:style w:type="paragraph" w:customStyle="1" w:styleId="205">
    <w:name w:val="修订1"/>
    <w:qFormat/>
    <w:uiPriority w:val="0"/>
    <w:rPr>
      <w:rFonts w:ascii="Times New Roman" w:hAnsi="Times New Roman" w:eastAsia="宋体" w:cs="Times New Roman"/>
      <w:kern w:val="2"/>
      <w:sz w:val="21"/>
      <w:lang w:val="en-US" w:eastAsia="zh-CN" w:bidi="ar-SA"/>
    </w:rPr>
  </w:style>
  <w:style w:type="paragraph" w:customStyle="1" w:styleId="206">
    <w:name w:val="样式 正文缩进ALT+Z四号段1Normal Indent Char2Normal Indent Char1 Char..."/>
    <w:basedOn w:val="141"/>
    <w:link w:val="207"/>
    <w:qFormat/>
    <w:uiPriority w:val="0"/>
    <w:pPr>
      <w:jc w:val="center"/>
    </w:pPr>
    <w:rPr>
      <w:rFonts w:ascii="宋体" w:hAnsi="宋体" w:cs="宋体"/>
      <w:spacing w:val="30"/>
      <w:sz w:val="28"/>
      <w:u w:val="single"/>
    </w:rPr>
  </w:style>
  <w:style w:type="character" w:customStyle="1" w:styleId="207">
    <w:name w:val="样式 正文缩进ALT+Z四号段1Normal Indent Char2Normal Indent Char1 Char... Char"/>
    <w:link w:val="206"/>
    <w:qFormat/>
    <w:uiPriority w:val="0"/>
    <w:rPr>
      <w:rFonts w:ascii="宋体" w:hAnsi="宋体" w:eastAsia="黑体" w:cs="宋体"/>
      <w:b/>
      <w:bCs/>
      <w:spacing w:val="30"/>
      <w:kern w:val="2"/>
      <w:sz w:val="28"/>
      <w:szCs w:val="28"/>
      <w:u w:val="single"/>
      <w:lang w:val="en-US" w:eastAsia="zh-CN" w:bidi="ar-SA"/>
    </w:rPr>
  </w:style>
  <w:style w:type="paragraph" w:customStyle="1" w:styleId="208">
    <w:name w:val="Char1 Char Char Char1"/>
    <w:basedOn w:val="1"/>
    <w:qFormat/>
    <w:uiPriority w:val="0"/>
    <w:pPr>
      <w:spacing w:beforeLines="50" w:afterLines="50" w:line="360" w:lineRule="auto"/>
      <w:ind w:left="357" w:hanging="357"/>
      <w:jc w:val="left"/>
    </w:pPr>
    <w:rPr>
      <w:rFonts w:eastAsia="仿宋_GB2312"/>
      <w:b/>
      <w:sz w:val="32"/>
      <w:szCs w:val="24"/>
    </w:rPr>
  </w:style>
  <w:style w:type="paragraph" w:customStyle="1" w:styleId="209">
    <w:name w:val="Char1 Char Char Char Char Char"/>
    <w:basedOn w:val="1"/>
    <w:qFormat/>
    <w:uiPriority w:val="0"/>
    <w:pPr>
      <w:spacing w:beforeLines="50" w:afterLines="50" w:line="360" w:lineRule="auto"/>
      <w:ind w:left="357" w:hanging="357"/>
      <w:jc w:val="left"/>
    </w:pPr>
    <w:rPr>
      <w:rFonts w:eastAsia="仿宋_GB2312"/>
      <w:b/>
      <w:sz w:val="32"/>
      <w:szCs w:val="24"/>
    </w:rPr>
  </w:style>
  <w:style w:type="paragraph" w:customStyle="1" w:styleId="210">
    <w:name w:val="xl25"/>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hint="eastAsia" w:ascii="宋体" w:hAnsi="宋体" w:cs="Arial Unicode MS"/>
      <w:kern w:val="0"/>
      <w:sz w:val="16"/>
      <w:szCs w:val="16"/>
      <w:lang w:eastAsia="en-US"/>
    </w:rPr>
  </w:style>
  <w:style w:type="paragraph" w:customStyle="1" w:styleId="211">
    <w:name w:val="结构图及表格"/>
    <w:basedOn w:val="1"/>
    <w:link w:val="212"/>
    <w:qFormat/>
    <w:uiPriority w:val="0"/>
    <w:pPr>
      <w:snapToGrid w:val="0"/>
      <w:jc w:val="center"/>
    </w:pPr>
    <w:rPr>
      <w:rFonts w:eastAsia="华文中宋"/>
      <w:kern w:val="28"/>
    </w:rPr>
  </w:style>
  <w:style w:type="character" w:customStyle="1" w:styleId="212">
    <w:name w:val="结构图及表格 Char"/>
    <w:link w:val="211"/>
    <w:qFormat/>
    <w:uiPriority w:val="0"/>
    <w:rPr>
      <w:rFonts w:eastAsia="华文中宋"/>
      <w:kern w:val="28"/>
      <w:sz w:val="21"/>
      <w:lang w:val="en-US" w:eastAsia="zh-CN" w:bidi="ar-SA"/>
    </w:rPr>
  </w:style>
  <w:style w:type="paragraph" w:customStyle="1" w:styleId="213">
    <w:name w:val="菲页2"/>
    <w:basedOn w:val="6"/>
    <w:qFormat/>
    <w:uiPriority w:val="0"/>
    <w:pPr>
      <w:widowControl/>
      <w:tabs>
        <w:tab w:val="left" w:pos="720"/>
      </w:tabs>
      <w:spacing w:before="120" w:after="120" w:line="360" w:lineRule="auto"/>
      <w:ind w:left="720" w:right="210" w:rightChars="100" w:hanging="720"/>
    </w:pPr>
    <w:rPr>
      <w:rFonts w:ascii="黑体" w:hAnsi="宋体" w:eastAsia="黑体"/>
      <w:b w:val="0"/>
      <w:kern w:val="0"/>
      <w:sz w:val="44"/>
      <w:szCs w:val="20"/>
    </w:rPr>
  </w:style>
  <w:style w:type="paragraph" w:customStyle="1" w:styleId="214">
    <w:name w:val="Char Char Char Char Char Char Char"/>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215">
    <w:name w:val="xl34"/>
    <w:basedOn w:val="1"/>
    <w:qFormat/>
    <w:uiPriority w:val="0"/>
    <w:pPr>
      <w:widowControl/>
      <w:pBdr>
        <w:top w:val="single" w:color="000000" w:sz="4" w:space="0"/>
        <w:left w:val="single" w:color="000000" w:sz="4" w:space="0"/>
        <w:bottom w:val="single" w:color="000000" w:sz="8" w:space="0"/>
        <w:right w:val="single" w:color="000000" w:sz="8"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216">
    <w:name w:val="xl57"/>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Arial" w:hAnsi="Arial" w:eastAsia="Arial Unicode MS" w:cs="Arial"/>
      <w:kern w:val="0"/>
      <w:sz w:val="22"/>
      <w:szCs w:val="22"/>
      <w:lang w:eastAsia="en-US"/>
    </w:rPr>
  </w:style>
  <w:style w:type="paragraph" w:customStyle="1" w:styleId="217">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Arial" w:hAnsi="Arial" w:eastAsia="Arial Unicode MS" w:cs="Arial"/>
      <w:kern w:val="0"/>
      <w:sz w:val="22"/>
      <w:szCs w:val="22"/>
      <w:lang w:eastAsia="en-US"/>
    </w:rPr>
  </w:style>
  <w:style w:type="paragraph" w:customStyle="1" w:styleId="218">
    <w:name w:val="表格左"/>
    <w:link w:val="219"/>
    <w:qFormat/>
    <w:uiPriority w:val="0"/>
    <w:pPr>
      <w:widowControl w:val="0"/>
      <w:ind w:firstLine="200" w:firstLineChars="200"/>
      <w:jc w:val="both"/>
    </w:pPr>
    <w:rPr>
      <w:rFonts w:ascii="宋体" w:hAnsi="宋体" w:eastAsia="宋体" w:cs="宋体"/>
      <w:kern w:val="2"/>
      <w:sz w:val="24"/>
      <w:lang w:val="en-US" w:eastAsia="zh-CN" w:bidi="ar-SA"/>
    </w:rPr>
  </w:style>
  <w:style w:type="character" w:customStyle="1" w:styleId="219">
    <w:name w:val="表格左 Char"/>
    <w:link w:val="218"/>
    <w:qFormat/>
    <w:uiPriority w:val="0"/>
    <w:rPr>
      <w:rFonts w:ascii="宋体" w:hAnsi="宋体" w:cs="宋体"/>
      <w:kern w:val="2"/>
      <w:sz w:val="24"/>
      <w:lang w:val="en-US" w:eastAsia="zh-CN" w:bidi="ar-SA"/>
    </w:rPr>
  </w:style>
  <w:style w:type="paragraph" w:customStyle="1" w:styleId="220">
    <w:name w:val="xl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Arial" w:hAnsi="Arial" w:eastAsia="Arial Unicode MS" w:cs="Arial"/>
      <w:kern w:val="0"/>
      <w:sz w:val="22"/>
      <w:szCs w:val="22"/>
      <w:lang w:eastAsia="en-US"/>
    </w:rPr>
  </w:style>
  <w:style w:type="paragraph" w:customStyle="1" w:styleId="221">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textAlignment w:val="center"/>
    </w:pPr>
    <w:rPr>
      <w:rFonts w:ascii="Arial Unicode MS" w:hAnsi="Arial Unicode MS" w:eastAsia="Arial Unicode MS" w:cs="Arial Unicode MS"/>
      <w:kern w:val="0"/>
      <w:szCs w:val="21"/>
      <w:lang w:eastAsia="en-US"/>
    </w:rPr>
  </w:style>
  <w:style w:type="paragraph" w:customStyle="1" w:styleId="222">
    <w:name w:val="xl37"/>
    <w:basedOn w:val="1"/>
    <w:qFormat/>
    <w:uiPriority w:val="0"/>
    <w:pPr>
      <w:widowControl/>
      <w:pBdr>
        <w:top w:val="single" w:color="000000" w:sz="8" w:space="0"/>
        <w:left w:val="single" w:color="000000" w:sz="4" w:space="0"/>
        <w:bottom w:val="single" w:color="000000" w:sz="4" w:space="0"/>
        <w:right w:val="single" w:color="000000" w:sz="4"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223">
    <w:name w:val="插图"/>
    <w:basedOn w:val="1"/>
    <w:link w:val="224"/>
    <w:qFormat/>
    <w:uiPriority w:val="0"/>
    <w:pPr>
      <w:adjustRightInd w:val="0"/>
      <w:jc w:val="center"/>
    </w:pPr>
    <w:rPr>
      <w:rFonts w:ascii="宋体"/>
      <w:sz w:val="24"/>
      <w:szCs w:val="24"/>
    </w:rPr>
  </w:style>
  <w:style w:type="character" w:customStyle="1" w:styleId="224">
    <w:name w:val="插图 Char"/>
    <w:link w:val="223"/>
    <w:qFormat/>
    <w:uiPriority w:val="0"/>
    <w:rPr>
      <w:rFonts w:ascii="宋体" w:eastAsia="宋体"/>
      <w:kern w:val="2"/>
      <w:sz w:val="24"/>
      <w:szCs w:val="24"/>
      <w:lang w:val="en-US" w:eastAsia="zh-CN" w:bidi="ar-SA"/>
    </w:rPr>
  </w:style>
  <w:style w:type="paragraph" w:customStyle="1" w:styleId="225">
    <w:name w:val="xl35"/>
    <w:basedOn w:val="1"/>
    <w:qFormat/>
    <w:uiPriority w:val="0"/>
    <w:pPr>
      <w:widowControl/>
      <w:pBdr>
        <w:top w:val="single" w:color="000000" w:sz="8" w:space="0"/>
        <w:left w:val="single" w:color="000000" w:sz="8" w:space="0"/>
        <w:bottom w:val="single" w:color="000000" w:sz="4" w:space="0"/>
        <w:right w:val="single" w:color="000000" w:sz="4"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226">
    <w:name w:val="Char11"/>
    <w:basedOn w:val="1"/>
    <w:qFormat/>
    <w:uiPriority w:val="0"/>
    <w:rPr>
      <w:rFonts w:ascii="Tahoma" w:hAnsi="Tahoma"/>
      <w:sz w:val="24"/>
    </w:rPr>
  </w:style>
  <w:style w:type="paragraph" w:customStyle="1" w:styleId="227">
    <w:name w:val="xl29"/>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228">
    <w:name w:val="目录"/>
    <w:basedOn w:val="1"/>
    <w:qFormat/>
    <w:uiPriority w:val="0"/>
    <w:pPr>
      <w:widowControl/>
      <w:jc w:val="center"/>
    </w:pPr>
    <w:rPr>
      <w:rFonts w:ascii="宋体"/>
      <w:b/>
      <w:kern w:val="0"/>
      <w:sz w:val="36"/>
    </w:rPr>
  </w:style>
  <w:style w:type="paragraph" w:customStyle="1" w:styleId="229">
    <w:name w:val="样式 目录 2 + 首行缩进:  1 字符"/>
    <w:basedOn w:val="52"/>
    <w:qFormat/>
    <w:uiPriority w:val="0"/>
    <w:pPr>
      <w:adjustRightInd w:val="0"/>
      <w:snapToGrid w:val="0"/>
      <w:spacing w:line="300" w:lineRule="auto"/>
      <w:ind w:left="0" w:firstLine="100" w:firstLineChars="100"/>
      <w:jc w:val="both"/>
    </w:pPr>
    <w:rPr>
      <w:rFonts w:ascii="华文中宋" w:hAnsi="华文中宋" w:eastAsia="华文中宋" w:cs="宋体"/>
      <w:b/>
      <w:bCs/>
      <w:snapToGrid w:val="0"/>
      <w:color w:val="993300"/>
      <w:kern w:val="0"/>
      <w:sz w:val="24"/>
    </w:rPr>
  </w:style>
  <w:style w:type="paragraph" w:customStyle="1" w:styleId="230">
    <w:name w:val="font8"/>
    <w:basedOn w:val="1"/>
    <w:qFormat/>
    <w:uiPriority w:val="0"/>
    <w:pPr>
      <w:widowControl/>
      <w:spacing w:before="100" w:beforeAutospacing="1" w:after="100" w:afterAutospacing="1"/>
      <w:jc w:val="left"/>
    </w:pPr>
    <w:rPr>
      <w:rFonts w:eastAsia="Arial Unicode MS"/>
      <w:kern w:val="0"/>
      <w:sz w:val="22"/>
      <w:szCs w:val="22"/>
      <w:lang w:eastAsia="en-US"/>
    </w:rPr>
  </w:style>
  <w:style w:type="paragraph" w:customStyle="1" w:styleId="231">
    <w:name w:val="样式 表格文字 + 首行缩进:  2 字符"/>
    <w:basedOn w:val="180"/>
    <w:qFormat/>
    <w:uiPriority w:val="0"/>
    <w:pPr>
      <w:ind w:firstLine="0" w:firstLineChars="0"/>
      <w:jc w:val="center"/>
    </w:pPr>
    <w:rPr>
      <w:rFonts w:cs="宋体"/>
      <w:bCs w:val="0"/>
      <w:szCs w:val="20"/>
    </w:rPr>
  </w:style>
  <w:style w:type="paragraph" w:customStyle="1" w:styleId="232">
    <w:name w:val="xl44"/>
    <w:basedOn w:val="1"/>
    <w:qFormat/>
    <w:uiPriority w:val="0"/>
    <w:pPr>
      <w:widowControl/>
      <w:pBdr>
        <w:left w:val="single" w:color="000000" w:sz="8" w:space="0"/>
        <w:bottom w:val="single" w:color="000000" w:sz="8" w:space="0"/>
        <w:right w:val="single" w:color="000000" w:sz="8"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233">
    <w:name w:val="Char Char Char1 Char"/>
    <w:basedOn w:val="19"/>
    <w:qFormat/>
    <w:uiPriority w:val="0"/>
    <w:rPr>
      <w:rFonts w:ascii="Tahoma" w:hAnsi="Tahoma"/>
      <w:sz w:val="24"/>
      <w:szCs w:val="24"/>
    </w:rPr>
  </w:style>
  <w:style w:type="paragraph" w:customStyle="1" w:styleId="234">
    <w:name w:val="xl38"/>
    <w:basedOn w:val="1"/>
    <w:qFormat/>
    <w:uiPriority w:val="0"/>
    <w:pPr>
      <w:widowControl/>
      <w:pBdr>
        <w:top w:val="single" w:color="000000" w:sz="4" w:space="0"/>
        <w:left w:val="single" w:color="000000" w:sz="4" w:space="0"/>
        <w:bottom w:val="single" w:color="000000" w:sz="4" w:space="0"/>
        <w:right w:val="single" w:color="000000" w:sz="4"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235">
    <w:name w:val="2"/>
    <w:basedOn w:val="1"/>
    <w:next w:val="5"/>
    <w:qFormat/>
    <w:uiPriority w:val="0"/>
    <w:pPr>
      <w:ind w:firstLine="420"/>
    </w:pPr>
  </w:style>
  <w:style w:type="paragraph" w:customStyle="1" w:styleId="236">
    <w:name w:val="Char1"/>
    <w:basedOn w:val="1"/>
    <w:qFormat/>
    <w:uiPriority w:val="0"/>
    <w:pPr>
      <w:spacing w:line="360" w:lineRule="auto"/>
      <w:jc w:val="left"/>
    </w:pPr>
    <w:rPr>
      <w:rFonts w:eastAsia="仿宋_GB2312"/>
      <w:b/>
      <w:sz w:val="32"/>
      <w:szCs w:val="24"/>
    </w:rPr>
  </w:style>
  <w:style w:type="paragraph" w:customStyle="1" w:styleId="237">
    <w:name w:val="xl31"/>
    <w:basedOn w:val="1"/>
    <w:qFormat/>
    <w:uiPriority w:val="0"/>
    <w:pPr>
      <w:widowControl/>
      <w:pBdr>
        <w:left w:val="single" w:color="000000" w:sz="8" w:space="0"/>
        <w:bottom w:val="single" w:color="000000" w:sz="8" w:space="0"/>
        <w:right w:val="single" w:color="000000" w:sz="8" w:space="0"/>
      </w:pBdr>
      <w:spacing w:before="100" w:beforeAutospacing="1" w:after="100" w:afterAutospacing="1"/>
      <w:jc w:val="left"/>
      <w:textAlignment w:val="top"/>
    </w:pPr>
    <w:rPr>
      <w:rFonts w:hint="eastAsia" w:ascii="宋体" w:hAnsi="宋体" w:cs="Arial Unicode MS"/>
      <w:kern w:val="0"/>
      <w:sz w:val="22"/>
      <w:szCs w:val="22"/>
      <w:lang w:eastAsia="en-US"/>
    </w:rPr>
  </w:style>
  <w:style w:type="paragraph" w:customStyle="1" w:styleId="238">
    <w:name w:val="字元 字元1"/>
    <w:basedOn w:val="1"/>
    <w:qFormat/>
    <w:uiPriority w:val="0"/>
    <w:rPr>
      <w:szCs w:val="24"/>
    </w:rPr>
  </w:style>
  <w:style w:type="paragraph" w:customStyle="1" w:styleId="239">
    <w:name w:val="正方框图"/>
    <w:basedOn w:val="1"/>
    <w:qFormat/>
    <w:uiPriority w:val="0"/>
    <w:pPr>
      <w:snapToGrid w:val="0"/>
      <w:jc w:val="center"/>
    </w:pPr>
    <w:rPr>
      <w:sz w:val="24"/>
    </w:rPr>
  </w:style>
  <w:style w:type="paragraph" w:customStyle="1" w:styleId="240">
    <w:name w:val="Char1 Char Char Char1 Char Char Char"/>
    <w:basedOn w:val="1"/>
    <w:qFormat/>
    <w:uiPriority w:val="0"/>
    <w:pPr>
      <w:spacing w:line="360" w:lineRule="auto"/>
      <w:jc w:val="left"/>
    </w:pPr>
    <w:rPr>
      <w:rFonts w:eastAsia="仿宋_GB2312"/>
      <w:b/>
      <w:sz w:val="32"/>
      <w:szCs w:val="24"/>
    </w:rPr>
  </w:style>
  <w:style w:type="paragraph" w:customStyle="1" w:styleId="241">
    <w:name w:val="xl45"/>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left"/>
      <w:textAlignment w:val="center"/>
    </w:pPr>
    <w:rPr>
      <w:rFonts w:ascii="Arial" w:hAnsi="Arial" w:eastAsia="Arial Unicode MS" w:cs="Arial"/>
      <w:kern w:val="0"/>
      <w:sz w:val="20"/>
      <w:lang w:eastAsia="en-US"/>
    </w:rPr>
  </w:style>
  <w:style w:type="paragraph" w:customStyle="1" w:styleId="242">
    <w:name w:val="Char Char Char Char Char Char"/>
    <w:basedOn w:val="1"/>
    <w:qFormat/>
    <w:uiPriority w:val="0"/>
    <w:pPr>
      <w:spacing w:line="360" w:lineRule="auto"/>
      <w:jc w:val="left"/>
    </w:pPr>
    <w:rPr>
      <w:rFonts w:eastAsia="仿宋_GB2312"/>
      <w:b/>
      <w:sz w:val="32"/>
      <w:szCs w:val="24"/>
    </w:rPr>
  </w:style>
  <w:style w:type="paragraph" w:customStyle="1" w:styleId="243">
    <w:name w:val="xl49"/>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textAlignment w:val="center"/>
    </w:pPr>
    <w:rPr>
      <w:rFonts w:ascii="Arial Unicode MS" w:hAnsi="Arial Unicode MS" w:eastAsia="Arial Unicode MS" w:cs="Arial Unicode MS"/>
      <w:kern w:val="0"/>
      <w:sz w:val="18"/>
      <w:szCs w:val="18"/>
      <w:lang w:eastAsia="en-US"/>
    </w:rPr>
  </w:style>
  <w:style w:type="paragraph" w:customStyle="1" w:styleId="244">
    <w:name w:val="xl36"/>
    <w:basedOn w:val="1"/>
    <w:qFormat/>
    <w:uiPriority w:val="0"/>
    <w:pPr>
      <w:widowControl/>
      <w:pBdr>
        <w:top w:val="single" w:color="000000" w:sz="4" w:space="0"/>
        <w:left w:val="single" w:color="000000" w:sz="8" w:space="0"/>
        <w:bottom w:val="single" w:color="000000" w:sz="4" w:space="0"/>
        <w:right w:val="single" w:color="000000" w:sz="4" w:space="0"/>
      </w:pBdr>
      <w:spacing w:before="100" w:beforeAutospacing="1" w:after="100" w:afterAutospacing="1"/>
      <w:jc w:val="center"/>
    </w:pPr>
    <w:rPr>
      <w:rFonts w:hint="eastAsia" w:ascii="宋体" w:hAnsi="宋体" w:cs="Arial Unicode MS"/>
      <w:kern w:val="0"/>
      <w:sz w:val="22"/>
      <w:szCs w:val="22"/>
      <w:lang w:eastAsia="en-US"/>
    </w:rPr>
  </w:style>
  <w:style w:type="paragraph" w:customStyle="1" w:styleId="245">
    <w:name w:val="表格(小四)"/>
    <w:basedOn w:val="1"/>
    <w:qFormat/>
    <w:uiPriority w:val="0"/>
    <w:pPr>
      <w:tabs>
        <w:tab w:val="left" w:pos="2550"/>
      </w:tabs>
      <w:adjustRightInd w:val="0"/>
      <w:snapToGrid w:val="0"/>
      <w:spacing w:line="360" w:lineRule="auto"/>
      <w:jc w:val="center"/>
    </w:pPr>
    <w:rPr>
      <w:rFonts w:ascii="宋体" w:hAnsi="宋体"/>
      <w:kern w:val="0"/>
      <w:sz w:val="24"/>
      <w:szCs w:val="21"/>
    </w:rPr>
  </w:style>
  <w:style w:type="paragraph" w:customStyle="1" w:styleId="246">
    <w:name w:val="p0"/>
    <w:basedOn w:val="1"/>
    <w:qFormat/>
    <w:uiPriority w:val="0"/>
    <w:pPr>
      <w:widowControl/>
    </w:pPr>
    <w:rPr>
      <w:kern w:val="0"/>
      <w:szCs w:val="21"/>
    </w:rPr>
  </w:style>
  <w:style w:type="paragraph" w:customStyle="1" w:styleId="247">
    <w:name w:val="p15"/>
    <w:basedOn w:val="1"/>
    <w:qFormat/>
    <w:uiPriority w:val="0"/>
    <w:pPr>
      <w:widowControl/>
    </w:pPr>
    <w:rPr>
      <w:rFonts w:ascii="宋体" w:hAnsi="宋体" w:cs="宋体"/>
      <w:kern w:val="0"/>
      <w:szCs w:val="21"/>
    </w:rPr>
  </w:style>
  <w:style w:type="paragraph" w:customStyle="1" w:styleId="248">
    <w:name w:val="普通(网站)1"/>
    <w:basedOn w:val="1"/>
    <w:qFormat/>
    <w:uiPriority w:val="0"/>
    <w:pPr>
      <w:widowControl/>
      <w:spacing w:before="284" w:after="100" w:afterAutospacing="1" w:line="360" w:lineRule="auto"/>
      <w:jc w:val="left"/>
    </w:pPr>
    <w:rPr>
      <w:rFonts w:ascii="宋体" w:hAnsi="宋体" w:cs="宋体"/>
      <w:kern w:val="0"/>
      <w:sz w:val="24"/>
      <w:szCs w:val="24"/>
    </w:rPr>
  </w:style>
  <w:style w:type="paragraph" w:customStyle="1" w:styleId="249">
    <w:name w:val="列出段落3"/>
    <w:basedOn w:val="1"/>
    <w:qFormat/>
    <w:uiPriority w:val="34"/>
    <w:pPr>
      <w:ind w:firstLine="420" w:firstLineChars="200"/>
    </w:pPr>
    <w:rPr>
      <w:szCs w:val="24"/>
    </w:rPr>
  </w:style>
  <w:style w:type="character" w:customStyle="1" w:styleId="250">
    <w:name w:val="标题 6 Char1"/>
    <w:qFormat/>
    <w:uiPriority w:val="0"/>
    <w:rPr>
      <w:rFonts w:ascii="Arial" w:hAnsi="Arial" w:eastAsia="黑体"/>
      <w:b/>
      <w:bCs/>
      <w:kern w:val="2"/>
      <w:sz w:val="24"/>
      <w:szCs w:val="24"/>
      <w:lang w:val="en-US" w:eastAsia="zh-CN" w:bidi="ar-SA"/>
    </w:rPr>
  </w:style>
  <w:style w:type="character" w:customStyle="1" w:styleId="251">
    <w:name w:val="Char Char8"/>
    <w:qFormat/>
    <w:uiPriority w:val="0"/>
    <w:rPr>
      <w:rFonts w:ascii="Times New Roman" w:hAnsi="Times New Roman" w:eastAsia="宋体" w:cs="Times New Roman"/>
      <w:b/>
      <w:bCs/>
      <w:sz w:val="32"/>
      <w:szCs w:val="32"/>
    </w:rPr>
  </w:style>
  <w:style w:type="character" w:customStyle="1" w:styleId="252">
    <w:name w:val="Report Text Char3"/>
    <w:qFormat/>
    <w:uiPriority w:val="0"/>
    <w:rPr>
      <w:rFonts w:ascii="Swis721 BT" w:hAnsi="Swis721 BT" w:eastAsia="宋体"/>
      <w:sz w:val="24"/>
      <w:lang w:eastAsia="en-US" w:bidi="ar-SA"/>
    </w:rPr>
  </w:style>
  <w:style w:type="character" w:customStyle="1" w:styleId="253">
    <w:name w:val="（1） Char"/>
    <w:qFormat/>
    <w:uiPriority w:val="0"/>
    <w:rPr>
      <w:b/>
      <w:kern w:val="2"/>
      <w:sz w:val="24"/>
    </w:rPr>
  </w:style>
  <w:style w:type="character" w:customStyle="1" w:styleId="254">
    <w:name w:val="Para head"/>
    <w:qFormat/>
    <w:uiPriority w:val="0"/>
    <w:rPr>
      <w:rFonts w:ascii="Arial" w:hAnsi="Arial" w:eastAsia="Times New Roman"/>
      <w:sz w:val="20"/>
    </w:rPr>
  </w:style>
  <w:style w:type="character" w:customStyle="1" w:styleId="255">
    <w:name w:val="1.1 Char"/>
    <w:qFormat/>
    <w:uiPriority w:val="0"/>
    <w:rPr>
      <w:rFonts w:ascii="Arial" w:hAnsi="Arial"/>
      <w:color w:val="000000"/>
      <w:kern w:val="2"/>
      <w:sz w:val="24"/>
      <w:szCs w:val="24"/>
    </w:rPr>
  </w:style>
  <w:style w:type="character" w:customStyle="1" w:styleId="256">
    <w:name w:val="Char Char9"/>
    <w:qFormat/>
    <w:uiPriority w:val="0"/>
    <w:rPr>
      <w:rFonts w:ascii="Arial" w:hAnsi="Arial" w:eastAsia="宋体"/>
      <w:b/>
      <w:kern w:val="2"/>
      <w:sz w:val="44"/>
      <w:lang w:val="en-US" w:eastAsia="zh-CN" w:bidi="ar-SA"/>
    </w:rPr>
  </w:style>
  <w:style w:type="character" w:customStyle="1" w:styleId="257">
    <w:name w:val="Char Char Char"/>
    <w:qFormat/>
    <w:uiPriority w:val="0"/>
    <w:rPr>
      <w:rFonts w:ascii="Arial" w:hAnsi="Arial" w:eastAsia="黑体"/>
      <w:b/>
      <w:bCs/>
      <w:kern w:val="2"/>
      <w:sz w:val="32"/>
      <w:szCs w:val="32"/>
      <w:lang w:val="en-US" w:eastAsia="zh-CN" w:bidi="ar-SA"/>
    </w:rPr>
  </w:style>
  <w:style w:type="character" w:customStyle="1" w:styleId="258">
    <w:name w:val="textcontents"/>
    <w:basedOn w:val="64"/>
    <w:qFormat/>
    <w:uiPriority w:val="0"/>
  </w:style>
  <w:style w:type="character" w:customStyle="1" w:styleId="259">
    <w:name w:val="标题 Char"/>
    <w:qFormat/>
    <w:uiPriority w:val="0"/>
    <w:rPr>
      <w:rFonts w:ascii="Arial" w:hAnsi="Arial" w:eastAsia="宋体"/>
      <w:b/>
      <w:kern w:val="2"/>
      <w:sz w:val="44"/>
      <w:lang w:val="en-US" w:eastAsia="zh-CN" w:bidi="ar-SA"/>
    </w:rPr>
  </w:style>
  <w:style w:type="character" w:customStyle="1" w:styleId="260">
    <w:name w:val="标题 1 Char"/>
    <w:qFormat/>
    <w:uiPriority w:val="0"/>
    <w:rPr>
      <w:rFonts w:ascii="Arial" w:hAnsi="Arial" w:eastAsia="宋体"/>
      <w:b/>
      <w:bCs/>
      <w:kern w:val="44"/>
      <w:sz w:val="36"/>
      <w:szCs w:val="36"/>
      <w:lang w:val="en-US" w:eastAsia="zh-CN" w:bidi="ar-SA"/>
    </w:rPr>
  </w:style>
  <w:style w:type="character" w:customStyle="1" w:styleId="261">
    <w:name w:val="Char Char7"/>
    <w:qFormat/>
    <w:uiPriority w:val="0"/>
    <w:rPr>
      <w:rFonts w:eastAsia="宋体"/>
      <w:kern w:val="2"/>
      <w:sz w:val="18"/>
      <w:lang w:val="en-US" w:eastAsia="zh-CN" w:bidi="ar-SA"/>
    </w:rPr>
  </w:style>
  <w:style w:type="character" w:customStyle="1" w:styleId="262">
    <w:name w:val="unnamed11"/>
    <w:qFormat/>
    <w:uiPriority w:val="0"/>
    <w:rPr>
      <w:sz w:val="21"/>
      <w:szCs w:val="21"/>
    </w:rPr>
  </w:style>
  <w:style w:type="character" w:customStyle="1" w:styleId="263">
    <w:name w:val="标题 4 Char1"/>
    <w:qFormat/>
    <w:uiPriority w:val="0"/>
    <w:rPr>
      <w:rFonts w:ascii="Arial" w:hAnsi="Arial" w:eastAsia="宋体"/>
      <w:b/>
      <w:bCs/>
      <w:kern w:val="10"/>
      <w:sz w:val="32"/>
      <w:szCs w:val="32"/>
      <w:lang w:val="en-US" w:eastAsia="zh-CN" w:bidi="ar-SA"/>
    </w:rPr>
  </w:style>
  <w:style w:type="character" w:customStyle="1" w:styleId="264">
    <w:name w:val="纯文本 Char"/>
    <w:qFormat/>
    <w:uiPriority w:val="0"/>
    <w:rPr>
      <w:rFonts w:ascii="宋体" w:hAnsi="Courier New" w:eastAsia="宋体"/>
      <w:kern w:val="2"/>
      <w:sz w:val="21"/>
      <w:lang w:val="en-US" w:eastAsia="zh-CN" w:bidi="ar-SA"/>
    </w:rPr>
  </w:style>
  <w:style w:type="character" w:customStyle="1" w:styleId="265">
    <w:name w:val="合同标题 Char"/>
    <w:qFormat/>
    <w:uiPriority w:val="0"/>
    <w:rPr>
      <w:rFonts w:ascii="楷体_GB2312" w:eastAsia="楷体_GB2312"/>
      <w:b/>
      <w:spacing w:val="20"/>
      <w:kern w:val="44"/>
      <w:sz w:val="44"/>
      <w:u w:val="single"/>
      <w:lang w:val="en-US" w:eastAsia="zh-CN" w:bidi="ar-SA"/>
    </w:rPr>
  </w:style>
  <w:style w:type="character" w:customStyle="1" w:styleId="266">
    <w:name w:val="标题 1.1 Char"/>
    <w:qFormat/>
    <w:uiPriority w:val="0"/>
    <w:rPr>
      <w:rFonts w:ascii="宋体" w:hAnsi="宋体"/>
      <w:b/>
      <w:kern w:val="2"/>
      <w:sz w:val="28"/>
      <w:szCs w:val="28"/>
    </w:rPr>
  </w:style>
  <w:style w:type="character" w:customStyle="1" w:styleId="267">
    <w:name w:val="框图文字 Char Char"/>
    <w:qFormat/>
    <w:uiPriority w:val="0"/>
    <w:rPr>
      <w:rFonts w:ascii="宋体" w:hAnsi="Courier New" w:eastAsia="华文中宋"/>
      <w:snapToGrid w:val="0"/>
      <w:sz w:val="21"/>
      <w:lang w:val="en-US" w:eastAsia="zh-CN" w:bidi="ar-SA"/>
    </w:rPr>
  </w:style>
  <w:style w:type="character" w:customStyle="1" w:styleId="268">
    <w:name w:val="特点标题 Char Char"/>
    <w:qFormat/>
    <w:uiPriority w:val="0"/>
    <w:rPr>
      <w:rFonts w:eastAsia="宋体"/>
      <w:kern w:val="2"/>
      <w:sz w:val="28"/>
      <w:lang w:val="en-US" w:eastAsia="zh-CN" w:bidi="ar-SA"/>
    </w:rPr>
  </w:style>
  <w:style w:type="paragraph" w:customStyle="1" w:styleId="269">
    <w:name w:val="修订2"/>
    <w:hidden/>
    <w:semiHidden/>
    <w:qFormat/>
    <w:uiPriority w:val="99"/>
    <w:rPr>
      <w:rFonts w:ascii="Times New Roman" w:hAnsi="Times New Roman" w:eastAsia="宋体" w:cs="Times New Roman"/>
      <w:kern w:val="2"/>
      <w:sz w:val="21"/>
      <w:lang w:val="en-US" w:eastAsia="zh-CN" w:bidi="ar-SA"/>
    </w:rPr>
  </w:style>
  <w:style w:type="character" w:customStyle="1" w:styleId="270">
    <w:name w:val="font01"/>
    <w:qFormat/>
    <w:uiPriority w:val="0"/>
    <w:rPr>
      <w:rFonts w:hint="eastAsia" w:ascii="宋体" w:hAnsi="宋体" w:eastAsia="宋体" w:cs="宋体"/>
      <w:b/>
      <w:color w:val="FF0000"/>
      <w:sz w:val="20"/>
      <w:szCs w:val="20"/>
      <w:u w:val="none"/>
    </w:rPr>
  </w:style>
  <w:style w:type="paragraph" w:customStyle="1" w:styleId="271">
    <w:name w:val="列出段落4"/>
    <w:basedOn w:val="1"/>
    <w:qFormat/>
    <w:uiPriority w:val="34"/>
    <w:pPr>
      <w:ind w:firstLine="420" w:firstLineChars="200"/>
    </w:pPr>
  </w:style>
  <w:style w:type="character" w:customStyle="1" w:styleId="272">
    <w:name w:val="合同标题 Char2"/>
    <w:qFormat/>
    <w:uiPriority w:val="0"/>
    <w:rPr>
      <w:rFonts w:ascii="宋体" w:hAnsi="宋体" w:eastAsia="宋体"/>
      <w:b/>
      <w:bCs/>
      <w:color w:val="000000"/>
      <w:kern w:val="44"/>
      <w:sz w:val="28"/>
      <w:szCs w:val="28"/>
      <w:lang w:val="en-US" w:eastAsia="zh-CN" w:bidi="ar-SA"/>
    </w:rPr>
  </w:style>
  <w:style w:type="character" w:customStyle="1" w:styleId="273">
    <w:name w:val="样式 标题 6 + 行距: 1.5 倍行距 Char Char"/>
    <w:qFormat/>
    <w:uiPriority w:val="0"/>
    <w:rPr>
      <w:rFonts w:ascii="Arial" w:hAnsi="Arial" w:eastAsia="黑体"/>
      <w:b/>
      <w:bCs/>
      <w:kern w:val="2"/>
      <w:sz w:val="24"/>
      <w:szCs w:val="28"/>
    </w:rPr>
  </w:style>
  <w:style w:type="character" w:customStyle="1" w:styleId="274">
    <w:name w:val="1.1 Char1"/>
    <w:qFormat/>
    <w:uiPriority w:val="0"/>
    <w:rPr>
      <w:rFonts w:ascii="Arial" w:hAnsi="Arial" w:eastAsia="宋体"/>
      <w:b/>
      <w:bCs/>
      <w:color w:val="000000"/>
      <w:kern w:val="2"/>
      <w:sz w:val="24"/>
      <w:szCs w:val="24"/>
      <w:lang w:val="en-US" w:eastAsia="zh-CN" w:bidi="ar-SA"/>
    </w:rPr>
  </w:style>
  <w:style w:type="character" w:customStyle="1" w:styleId="275">
    <w:name w:val="无间隔 字符"/>
    <w:link w:val="276"/>
    <w:qFormat/>
    <w:uiPriority w:val="1"/>
    <w:rPr>
      <w:rFonts w:ascii="Calibri" w:hAnsi="Calibri"/>
      <w:kern w:val="2"/>
      <w:sz w:val="21"/>
      <w:szCs w:val="22"/>
    </w:rPr>
  </w:style>
  <w:style w:type="paragraph" w:customStyle="1" w:styleId="276">
    <w:name w:val="无间隔1"/>
    <w:link w:val="275"/>
    <w:qFormat/>
    <w:uiPriority w:val="1"/>
    <w:pPr>
      <w:widowControl w:val="0"/>
      <w:spacing w:line="240" w:lineRule="atLeast"/>
      <w:jc w:val="both"/>
    </w:pPr>
    <w:rPr>
      <w:rFonts w:ascii="Calibri" w:hAnsi="Calibri" w:eastAsia="宋体" w:cs="Times New Roman"/>
      <w:kern w:val="2"/>
      <w:sz w:val="21"/>
      <w:szCs w:val="22"/>
      <w:lang w:val="en-US" w:eastAsia="zh-CN" w:bidi="ar-SA"/>
    </w:rPr>
  </w:style>
  <w:style w:type="paragraph" w:customStyle="1" w:styleId="277">
    <w:name w:val="_Style 251"/>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278">
    <w:name w:val="chword"/>
    <w:qFormat/>
    <w:uiPriority w:val="0"/>
  </w:style>
  <w:style w:type="character" w:customStyle="1" w:styleId="279">
    <w:name w:val="样式 正文缩进ALT+Z四号段1Normal Indent Char2Normal Indent Char1 Char... Char Char"/>
    <w:qFormat/>
    <w:uiPriority w:val="0"/>
    <w:rPr>
      <w:rFonts w:ascii="宋体" w:hAnsi="宋体" w:eastAsia="黑体" w:cs="宋体"/>
      <w:b/>
      <w:bCs/>
      <w:spacing w:val="30"/>
      <w:kern w:val="2"/>
      <w:sz w:val="28"/>
      <w:szCs w:val="28"/>
      <w:u w:val="single"/>
    </w:rPr>
  </w:style>
  <w:style w:type="character" w:customStyle="1" w:styleId="280">
    <w:name w:val="标题 1 Char Char"/>
    <w:qFormat/>
    <w:uiPriority w:val="0"/>
    <w:rPr>
      <w:rFonts w:ascii="Arial" w:hAnsi="Arial" w:eastAsia="宋体"/>
      <w:b/>
      <w:bCs/>
      <w:kern w:val="44"/>
      <w:sz w:val="36"/>
      <w:szCs w:val="36"/>
      <w:lang w:val="en-US" w:eastAsia="zh-CN" w:bidi="ar-SA"/>
    </w:rPr>
  </w:style>
  <w:style w:type="character" w:customStyle="1" w:styleId="281">
    <w:name w:val="（1） Char Char"/>
    <w:qFormat/>
    <w:uiPriority w:val="0"/>
    <w:rPr>
      <w:rFonts w:eastAsia="宋体"/>
      <w:b/>
      <w:kern w:val="2"/>
      <w:sz w:val="24"/>
      <w:lang w:val="en-US" w:eastAsia="zh-CN" w:bidi="ar-SA"/>
    </w:rPr>
  </w:style>
  <w:style w:type="character" w:customStyle="1" w:styleId="282">
    <w:name w:val="表格左对齐 Char Char"/>
    <w:basedOn w:val="283"/>
    <w:qFormat/>
    <w:uiPriority w:val="0"/>
    <w:rPr>
      <w:rFonts w:ascii="华文中宋" w:eastAsia="华文中宋" w:cs="Angsana New"/>
      <w:kern w:val="2"/>
      <w:sz w:val="21"/>
      <w:szCs w:val="21"/>
      <w:lang w:val="en-US" w:eastAsia="zh-CN" w:bidi="ar-SA"/>
    </w:rPr>
  </w:style>
  <w:style w:type="character" w:customStyle="1" w:styleId="283">
    <w:name w:val="表格居中 Char Char"/>
    <w:qFormat/>
    <w:uiPriority w:val="0"/>
    <w:rPr>
      <w:rFonts w:ascii="华文中宋" w:eastAsia="华文中宋" w:cs="Angsana New"/>
      <w:kern w:val="2"/>
      <w:sz w:val="21"/>
      <w:szCs w:val="21"/>
      <w:lang w:val="en-US" w:eastAsia="zh-CN" w:bidi="ar-SA"/>
    </w:rPr>
  </w:style>
  <w:style w:type="character" w:customStyle="1" w:styleId="284">
    <w:name w:val="尾注文本 Char Char"/>
    <w:qFormat/>
    <w:uiPriority w:val="0"/>
    <w:rPr>
      <w:rFonts w:eastAsia="宋体"/>
      <w:kern w:val="2"/>
      <w:sz w:val="21"/>
      <w:lang w:val="en-US" w:eastAsia="zh-CN" w:bidi="ar-SA"/>
    </w:rPr>
  </w:style>
  <w:style w:type="character" w:customStyle="1" w:styleId="285">
    <w:name w:val="页眉 Char Char"/>
    <w:qFormat/>
    <w:uiPriority w:val="0"/>
    <w:rPr>
      <w:rFonts w:eastAsia="宋体"/>
      <w:kern w:val="2"/>
      <w:sz w:val="18"/>
      <w:lang w:val="en-US" w:eastAsia="zh-CN" w:bidi="ar-SA"/>
    </w:rPr>
  </w:style>
  <w:style w:type="character" w:customStyle="1" w:styleId="286">
    <w:name w:val="表格左缩进 Char Char"/>
    <w:qFormat/>
    <w:uiPriority w:val="0"/>
    <w:rPr>
      <w:rFonts w:ascii="华文中宋" w:eastAsia="华文中宋" w:cs="Angsana New"/>
      <w:kern w:val="2"/>
      <w:sz w:val="21"/>
      <w:szCs w:val="21"/>
      <w:lang w:val="en-US" w:eastAsia="zh-CN" w:bidi="ar-SA"/>
    </w:rPr>
  </w:style>
  <w:style w:type="character" w:customStyle="1" w:styleId="287">
    <w:name w:val="样式3 Char"/>
    <w:qFormat/>
    <w:uiPriority w:val="0"/>
    <w:rPr>
      <w:rFonts w:ascii="宋体" w:hAnsi="宋体" w:eastAsia="宋体"/>
      <w:b/>
      <w:bCs/>
      <w:kern w:val="2"/>
      <w:sz w:val="24"/>
      <w:szCs w:val="28"/>
      <w:lang w:val="en-US" w:eastAsia="zh-CN" w:bidi="ar-SA"/>
    </w:rPr>
  </w:style>
  <w:style w:type="character" w:customStyle="1" w:styleId="288">
    <w:name w:val="插图 Char Char"/>
    <w:qFormat/>
    <w:uiPriority w:val="0"/>
    <w:rPr>
      <w:rFonts w:ascii="宋体" w:eastAsia="宋体"/>
      <w:kern w:val="2"/>
      <w:sz w:val="24"/>
      <w:szCs w:val="24"/>
      <w:lang w:val="en-US" w:eastAsia="zh-CN" w:bidi="ar-SA"/>
    </w:rPr>
  </w:style>
  <w:style w:type="character" w:customStyle="1" w:styleId="289">
    <w:name w:val="1 封面标题"/>
    <w:qFormat/>
    <w:uiPriority w:val="0"/>
    <w:rPr>
      <w:rFonts w:ascii="微软雅黑" w:hAnsi="微软雅黑" w:eastAsia="微软雅黑"/>
      <w:b/>
      <w:sz w:val="52"/>
      <w:szCs w:val="52"/>
    </w:rPr>
  </w:style>
  <w:style w:type="character" w:customStyle="1" w:styleId="290">
    <w:name w:val="日期 Char Char"/>
    <w:qFormat/>
    <w:uiPriority w:val="0"/>
    <w:rPr>
      <w:kern w:val="2"/>
      <w:sz w:val="21"/>
    </w:rPr>
  </w:style>
  <w:style w:type="character" w:customStyle="1" w:styleId="291">
    <w:name w:val="1、 Char2"/>
    <w:qFormat/>
    <w:uiPriority w:val="0"/>
    <w:rPr>
      <w:rFonts w:ascii="Arial" w:hAnsi="Arial" w:eastAsia="宋体"/>
      <w:b/>
      <w:bCs/>
      <w:color w:val="000000"/>
      <w:kern w:val="2"/>
      <w:sz w:val="24"/>
      <w:szCs w:val="24"/>
      <w:lang w:val="en-US" w:eastAsia="zh-CN" w:bidi="ar-SA"/>
    </w:rPr>
  </w:style>
  <w:style w:type="character" w:customStyle="1" w:styleId="292">
    <w:name w:val="不明显强调1"/>
    <w:qFormat/>
    <w:uiPriority w:val="0"/>
    <w:rPr>
      <w:i/>
      <w:iCs/>
      <w:color w:val="808080"/>
    </w:rPr>
  </w:style>
  <w:style w:type="character" w:customStyle="1" w:styleId="293">
    <w:name w:val="表格对中 Char Char"/>
    <w:qFormat/>
    <w:uiPriority w:val="0"/>
    <w:rPr>
      <w:rFonts w:eastAsia="华文中宋"/>
      <w:snapToGrid w:val="0"/>
      <w:color w:val="000000"/>
      <w:sz w:val="21"/>
      <w:szCs w:val="24"/>
      <w:lang w:val="en-US" w:eastAsia="zh-CN" w:bidi="ar-SA"/>
    </w:rPr>
  </w:style>
  <w:style w:type="character" w:customStyle="1" w:styleId="294">
    <w:name w:val="引用 字符"/>
    <w:link w:val="295"/>
    <w:qFormat/>
    <w:uiPriority w:val="0"/>
    <w:rPr>
      <w:i/>
      <w:iCs/>
      <w:color w:val="000000"/>
      <w:kern w:val="2"/>
      <w:sz w:val="21"/>
    </w:rPr>
  </w:style>
  <w:style w:type="paragraph" w:customStyle="1" w:styleId="295">
    <w:name w:val="引用1"/>
    <w:basedOn w:val="1"/>
    <w:next w:val="1"/>
    <w:link w:val="294"/>
    <w:qFormat/>
    <w:uiPriority w:val="0"/>
    <w:pPr>
      <w:widowControl/>
      <w:spacing w:line="240" w:lineRule="atLeast"/>
      <w:jc w:val="left"/>
    </w:pPr>
    <w:rPr>
      <w:i/>
      <w:iCs/>
      <w:color w:val="000000"/>
    </w:rPr>
  </w:style>
  <w:style w:type="character" w:customStyle="1" w:styleId="296">
    <w:name w:val="Char Char3"/>
    <w:qFormat/>
    <w:uiPriority w:val="0"/>
    <w:rPr>
      <w:rFonts w:ascii="Arial" w:hAnsi="Arial" w:eastAsia="宋体"/>
      <w:b/>
      <w:bCs/>
      <w:color w:val="000000"/>
      <w:kern w:val="44"/>
      <w:sz w:val="36"/>
      <w:szCs w:val="36"/>
      <w:lang w:val="en-US" w:eastAsia="zh-CN" w:bidi="ar-SA"/>
    </w:rPr>
  </w:style>
  <w:style w:type="character" w:customStyle="1" w:styleId="297">
    <w:name w:val="明显参考1"/>
    <w:qFormat/>
    <w:uiPriority w:val="0"/>
    <w:rPr>
      <w:b/>
      <w:bCs/>
      <w:smallCaps/>
      <w:color w:val="C0504D"/>
      <w:spacing w:val="5"/>
      <w:u w:val="single"/>
    </w:rPr>
  </w:style>
  <w:style w:type="character" w:customStyle="1" w:styleId="298">
    <w:name w:val="标题 Char Char"/>
    <w:qFormat/>
    <w:uiPriority w:val="0"/>
    <w:rPr>
      <w:rFonts w:ascii="Arial" w:hAnsi="Arial" w:eastAsia="宋体"/>
      <w:b/>
      <w:kern w:val="2"/>
      <w:sz w:val="44"/>
      <w:lang w:val="en-US" w:eastAsia="zh-CN" w:bidi="ar-SA"/>
    </w:rPr>
  </w:style>
  <w:style w:type="character" w:customStyle="1" w:styleId="299">
    <w:name w:val="结构图及表格 Char Char"/>
    <w:qFormat/>
    <w:uiPriority w:val="0"/>
    <w:rPr>
      <w:rFonts w:eastAsia="华文中宋"/>
      <w:kern w:val="28"/>
      <w:sz w:val="21"/>
      <w:lang w:val="en-US" w:eastAsia="zh-CN" w:bidi="ar-SA"/>
    </w:rPr>
  </w:style>
  <w:style w:type="character" w:customStyle="1" w:styleId="300">
    <w:name w:val="样式 首行缩进:  2 字符8 Char Char"/>
    <w:qFormat/>
    <w:uiPriority w:val="0"/>
    <w:rPr>
      <w:rFonts w:ascii="华文中宋" w:eastAsia="华文中宋" w:cs="宋体"/>
      <w:snapToGrid w:val="0"/>
      <w:sz w:val="24"/>
      <w:szCs w:val="24"/>
      <w:lang w:val="en-US" w:eastAsia="zh-CN" w:bidi="ar-SA"/>
    </w:rPr>
  </w:style>
  <w:style w:type="character" w:customStyle="1" w:styleId="301">
    <w:name w:val="正文文本 Char Char"/>
    <w:qFormat/>
    <w:uiPriority w:val="0"/>
    <w:rPr>
      <w:kern w:val="2"/>
      <w:sz w:val="21"/>
    </w:rPr>
  </w:style>
  <w:style w:type="character" w:customStyle="1" w:styleId="302">
    <w:name w:val="方案正文 Char Char"/>
    <w:qFormat/>
    <w:uiPriority w:val="0"/>
    <w:rPr>
      <w:rFonts w:ascii="宋体" w:eastAsia="宋体"/>
      <w:kern w:val="2"/>
      <w:sz w:val="24"/>
      <w:szCs w:val="24"/>
      <w:lang w:val="en-US" w:eastAsia="zh-CN" w:bidi="ar-SA"/>
    </w:rPr>
  </w:style>
  <w:style w:type="character" w:customStyle="1" w:styleId="303">
    <w:name w:val="样式 样式 样式 正文缩进ALT+Z四号段1Normal Indent Char2Normal Indent Char1 Cha... Char Char"/>
    <w:qFormat/>
    <w:uiPriority w:val="0"/>
    <w:rPr>
      <w:rFonts w:ascii="宋体" w:hAnsi="宋体" w:eastAsia="宋体" w:cs="宋体"/>
      <w:b/>
      <w:bCs/>
      <w:color w:val="000000"/>
      <w:spacing w:val="24"/>
      <w:kern w:val="2"/>
      <w:sz w:val="28"/>
      <w:szCs w:val="28"/>
      <w:u w:val="single"/>
    </w:rPr>
  </w:style>
  <w:style w:type="character" w:customStyle="1" w:styleId="304">
    <w:name w:val="正文文本 Char1"/>
    <w:qFormat/>
    <w:uiPriority w:val="0"/>
    <w:rPr>
      <w:rFonts w:ascii="宋体" w:hAnsi="宋体" w:eastAsia="宋体"/>
      <w:kern w:val="2"/>
      <w:sz w:val="21"/>
      <w:szCs w:val="24"/>
      <w:lang w:val="en-US" w:eastAsia="zh-CN" w:bidi="ar-SA"/>
    </w:rPr>
  </w:style>
  <w:style w:type="character" w:customStyle="1" w:styleId="305">
    <w:name w:val="明显强调1"/>
    <w:qFormat/>
    <w:uiPriority w:val="0"/>
    <w:rPr>
      <w:b/>
      <w:bCs/>
      <w:i/>
      <w:iCs/>
      <w:color w:val="4F81BD"/>
    </w:rPr>
  </w:style>
  <w:style w:type="character" w:customStyle="1" w:styleId="306">
    <w:name w:val="批注框文本 Char Char"/>
    <w:qFormat/>
    <w:uiPriority w:val="0"/>
    <w:rPr>
      <w:kern w:val="2"/>
      <w:sz w:val="18"/>
      <w:szCs w:val="18"/>
    </w:rPr>
  </w:style>
  <w:style w:type="character" w:customStyle="1" w:styleId="307">
    <w:name w:val="表格左 Char Char"/>
    <w:qFormat/>
    <w:uiPriority w:val="0"/>
    <w:rPr>
      <w:rFonts w:ascii="宋体" w:hAnsi="宋体" w:cs="宋体"/>
      <w:kern w:val="2"/>
      <w:sz w:val="24"/>
      <w:lang w:val="en-US" w:eastAsia="zh-CN" w:bidi="ar-SA"/>
    </w:rPr>
  </w:style>
  <w:style w:type="character" w:customStyle="1" w:styleId="308">
    <w:name w:val="称呼 Char1"/>
    <w:qFormat/>
    <w:uiPriority w:val="99"/>
    <w:rPr>
      <w:kern w:val="2"/>
      <w:sz w:val="21"/>
    </w:rPr>
  </w:style>
  <w:style w:type="character" w:customStyle="1" w:styleId="309">
    <w:name w:val="正文文本缩进 2 Char Char"/>
    <w:qFormat/>
    <w:uiPriority w:val="0"/>
    <w:rPr>
      <w:color w:val="000000"/>
      <w:kern w:val="2"/>
      <w:sz w:val="24"/>
    </w:rPr>
  </w:style>
  <w:style w:type="character" w:customStyle="1" w:styleId="310">
    <w:name w:val="特点标题 Char Char1"/>
    <w:qFormat/>
    <w:uiPriority w:val="0"/>
    <w:rPr>
      <w:rFonts w:eastAsia="宋体"/>
      <w:kern w:val="2"/>
      <w:sz w:val="28"/>
      <w:lang w:val="en-US" w:eastAsia="zh-CN" w:bidi="ar-SA"/>
    </w:rPr>
  </w:style>
  <w:style w:type="character" w:customStyle="1" w:styleId="311">
    <w:name w:val="table_0020grid__char"/>
    <w:qFormat/>
    <w:uiPriority w:val="0"/>
  </w:style>
  <w:style w:type="character" w:customStyle="1" w:styleId="312">
    <w:name w:val="正文首行缩进 Char Char"/>
    <w:link w:val="313"/>
    <w:qFormat/>
    <w:uiPriority w:val="0"/>
    <w:rPr>
      <w:kern w:val="2"/>
      <w:sz w:val="18"/>
      <w:szCs w:val="18"/>
    </w:rPr>
  </w:style>
  <w:style w:type="paragraph" w:customStyle="1" w:styleId="313">
    <w:name w:val="正文首行缩进2"/>
    <w:basedOn w:val="25"/>
    <w:link w:val="312"/>
    <w:qFormat/>
    <w:uiPriority w:val="0"/>
    <w:pPr>
      <w:widowControl/>
      <w:spacing w:line="240" w:lineRule="atLeast"/>
      <w:ind w:firstLine="420"/>
      <w:jc w:val="left"/>
    </w:pPr>
    <w:rPr>
      <w:sz w:val="18"/>
      <w:szCs w:val="18"/>
    </w:rPr>
  </w:style>
  <w:style w:type="character" w:customStyle="1" w:styleId="314">
    <w:name w:val="正文文本 3 Char Char"/>
    <w:qFormat/>
    <w:uiPriority w:val="0"/>
    <w:rPr>
      <w:rFonts w:ascii="MingLiU" w:eastAsia="MingLiU"/>
      <w:sz w:val="16"/>
      <w:szCs w:val="16"/>
      <w:lang w:eastAsia="zh-TW"/>
    </w:rPr>
  </w:style>
  <w:style w:type="character" w:customStyle="1" w:styleId="315">
    <w:name w:val="Char Char18"/>
    <w:qFormat/>
    <w:uiPriority w:val="0"/>
    <w:rPr>
      <w:rFonts w:ascii="Arial" w:hAnsi="Arial" w:eastAsia="宋体"/>
      <w:b/>
      <w:bCs/>
      <w:color w:val="000000"/>
      <w:kern w:val="44"/>
      <w:sz w:val="30"/>
      <w:szCs w:val="30"/>
    </w:rPr>
  </w:style>
  <w:style w:type="character" w:customStyle="1" w:styleId="316">
    <w:name w:val="批注文字 Char Char"/>
    <w:qFormat/>
    <w:uiPriority w:val="0"/>
    <w:rPr>
      <w:kern w:val="2"/>
      <w:sz w:val="21"/>
    </w:rPr>
  </w:style>
  <w:style w:type="character" w:customStyle="1" w:styleId="317">
    <w:name w:val="h3 Char1"/>
    <w:qFormat/>
    <w:uiPriority w:val="0"/>
    <w:rPr>
      <w:rFonts w:eastAsia="宋体"/>
      <w:b/>
      <w:bCs/>
      <w:kern w:val="2"/>
      <w:sz w:val="32"/>
      <w:szCs w:val="32"/>
      <w:lang w:val="en-US" w:eastAsia="zh-CN" w:bidi="ar-SA"/>
    </w:rPr>
  </w:style>
  <w:style w:type="character" w:customStyle="1" w:styleId="318">
    <w:name w:val="正文文本 2 Char1"/>
    <w:qFormat/>
    <w:uiPriority w:val="0"/>
    <w:rPr>
      <w:rFonts w:ascii="宋体" w:hAnsi="宋体"/>
      <w:kern w:val="2"/>
      <w:sz w:val="21"/>
      <w:szCs w:val="24"/>
      <w:u w:val="single"/>
    </w:rPr>
  </w:style>
  <w:style w:type="character" w:customStyle="1" w:styleId="319">
    <w:name w:val="批注主题 Char Char"/>
    <w:qFormat/>
    <w:uiPriority w:val="0"/>
    <w:rPr>
      <w:b/>
      <w:bCs/>
      <w:kern w:val="2"/>
      <w:sz w:val="21"/>
    </w:rPr>
  </w:style>
  <w:style w:type="character" w:customStyle="1" w:styleId="320">
    <w:name w:val="脚注文本 Char Char"/>
    <w:qFormat/>
    <w:uiPriority w:val="0"/>
    <w:rPr>
      <w:rFonts w:eastAsia="宋体"/>
      <w:kern w:val="2"/>
      <w:sz w:val="18"/>
      <w:lang w:val="en-US" w:eastAsia="zh-CN" w:bidi="ar-SA"/>
    </w:rPr>
  </w:style>
  <w:style w:type="character" w:customStyle="1" w:styleId="321">
    <w:name w:val="9 正文1 Char"/>
    <w:link w:val="322"/>
    <w:qFormat/>
    <w:uiPriority w:val="0"/>
    <w:rPr>
      <w:kern w:val="2"/>
      <w:sz w:val="24"/>
      <w:szCs w:val="24"/>
    </w:rPr>
  </w:style>
  <w:style w:type="paragraph" w:customStyle="1" w:styleId="322">
    <w:name w:val="9 正文1"/>
    <w:basedOn w:val="1"/>
    <w:link w:val="321"/>
    <w:qFormat/>
    <w:uiPriority w:val="0"/>
    <w:pPr>
      <w:widowControl/>
      <w:spacing w:line="440" w:lineRule="exact"/>
      <w:ind w:firstLine="480" w:firstLineChars="200"/>
      <w:jc w:val="left"/>
    </w:pPr>
    <w:rPr>
      <w:sz w:val="24"/>
      <w:szCs w:val="24"/>
    </w:rPr>
  </w:style>
  <w:style w:type="character" w:customStyle="1" w:styleId="323">
    <w:name w:val="明显引用 字符"/>
    <w:link w:val="324"/>
    <w:qFormat/>
    <w:uiPriority w:val="0"/>
    <w:rPr>
      <w:b/>
      <w:bCs/>
      <w:i/>
      <w:iCs/>
      <w:color w:val="4F81BD"/>
      <w:kern w:val="2"/>
      <w:sz w:val="21"/>
    </w:rPr>
  </w:style>
  <w:style w:type="paragraph" w:customStyle="1" w:styleId="324">
    <w:name w:val="明显引用1"/>
    <w:basedOn w:val="1"/>
    <w:next w:val="1"/>
    <w:link w:val="323"/>
    <w:qFormat/>
    <w:uiPriority w:val="0"/>
    <w:pPr>
      <w:widowControl/>
      <w:pBdr>
        <w:bottom w:val="single" w:color="4F81BD" w:sz="4" w:space="4"/>
      </w:pBdr>
      <w:spacing w:before="200" w:after="280" w:line="240" w:lineRule="atLeast"/>
      <w:ind w:left="936" w:right="936"/>
      <w:jc w:val="left"/>
    </w:pPr>
    <w:rPr>
      <w:b/>
      <w:bCs/>
      <w:i/>
      <w:iCs/>
      <w:color w:val="4F81BD"/>
    </w:rPr>
  </w:style>
  <w:style w:type="character" w:customStyle="1" w:styleId="325">
    <w:name w:val="样式 样式 正文缩进ALT+Z四号段1Normal Indent Char2Normal Indent Char1 Char..... Char Char"/>
    <w:qFormat/>
    <w:uiPriority w:val="0"/>
    <w:rPr>
      <w:rFonts w:ascii="宋体" w:hAnsi="宋体" w:eastAsia="宋体" w:cs="宋体"/>
      <w:b/>
      <w:bCs/>
      <w:color w:val="000000"/>
      <w:spacing w:val="30"/>
      <w:kern w:val="2"/>
      <w:sz w:val="36"/>
      <w:szCs w:val="28"/>
      <w:u w:val="single"/>
    </w:rPr>
  </w:style>
  <w:style w:type="character" w:customStyle="1" w:styleId="326">
    <w:name w:val="正文文本缩进 3 Char Char"/>
    <w:qFormat/>
    <w:uiPriority w:val="0"/>
    <w:rPr>
      <w:color w:val="000000"/>
      <w:kern w:val="2"/>
      <w:sz w:val="24"/>
    </w:rPr>
  </w:style>
  <w:style w:type="character" w:customStyle="1" w:styleId="327">
    <w:name w:val="不明显参考1"/>
    <w:qFormat/>
    <w:uiPriority w:val="0"/>
    <w:rPr>
      <w:smallCaps/>
      <w:color w:val="C0504D"/>
      <w:u w:val="single"/>
    </w:rPr>
  </w:style>
  <w:style w:type="character" w:customStyle="1" w:styleId="328">
    <w:name w:val="正文文本缩进 Char1"/>
    <w:qFormat/>
    <w:uiPriority w:val="0"/>
    <w:rPr>
      <w:rFonts w:eastAsia="宋体"/>
      <w:kern w:val="2"/>
      <w:sz w:val="28"/>
      <w:lang w:val="en-US" w:eastAsia="zh-CN" w:bidi="ar-SA"/>
    </w:rPr>
  </w:style>
  <w:style w:type="character" w:customStyle="1" w:styleId="329">
    <w:name w:val="表格文字、插入图表 居中 Char Char"/>
    <w:qFormat/>
    <w:uiPriority w:val="0"/>
    <w:rPr>
      <w:rFonts w:ascii="宋体" w:hAnsi="宋体" w:eastAsia="宋体" w:cs="宋体"/>
      <w:snapToGrid w:val="0"/>
      <w:sz w:val="21"/>
      <w:szCs w:val="21"/>
      <w:lang w:val="en-US" w:eastAsia="zh-CN" w:bidi="ar-SA"/>
    </w:rPr>
  </w:style>
  <w:style w:type="character" w:customStyle="1" w:styleId="330">
    <w:name w:val="文档结构图 Char Char"/>
    <w:qFormat/>
    <w:uiPriority w:val="0"/>
    <w:rPr>
      <w:rFonts w:eastAsia="宋体"/>
      <w:kern w:val="2"/>
      <w:sz w:val="21"/>
      <w:lang w:val="en-US" w:eastAsia="zh-CN" w:bidi="ar-SA"/>
    </w:rPr>
  </w:style>
  <w:style w:type="character" w:customStyle="1" w:styleId="331">
    <w:name w:val="（1） Char1"/>
    <w:qFormat/>
    <w:uiPriority w:val="0"/>
    <w:rPr>
      <w:rFonts w:eastAsia="宋体"/>
      <w:b/>
      <w:kern w:val="2"/>
      <w:sz w:val="24"/>
      <w:lang w:val="en-US" w:eastAsia="zh-CN" w:bidi="ar-SA"/>
    </w:rPr>
  </w:style>
  <w:style w:type="character" w:customStyle="1" w:styleId="332">
    <w:name w:val="正文首行缩进 2 Char Char"/>
    <w:qFormat/>
    <w:uiPriority w:val="0"/>
    <w:rPr>
      <w:rFonts w:ascii="MingLiU" w:eastAsia="MingLiU"/>
      <w:lang w:eastAsia="zh-TW"/>
    </w:rPr>
  </w:style>
  <w:style w:type="character" w:customStyle="1" w:styleId="333">
    <w:name w:val="Char Char Char Char Char Char Char Char Char Char Char Char Char Char"/>
    <w:qFormat/>
    <w:uiPriority w:val="0"/>
    <w:rPr>
      <w:rFonts w:ascii="Arial" w:hAnsi="Arial" w:eastAsia="黑体"/>
      <w:b/>
      <w:bCs/>
      <w:kern w:val="2"/>
      <w:sz w:val="32"/>
      <w:szCs w:val="32"/>
      <w:lang w:val="en-US" w:eastAsia="zh-CN" w:bidi="ar-SA"/>
    </w:rPr>
  </w:style>
  <w:style w:type="character" w:customStyle="1" w:styleId="334">
    <w:name w:val="标题 1.1 Char1"/>
    <w:qFormat/>
    <w:uiPriority w:val="0"/>
    <w:rPr>
      <w:rFonts w:ascii="Arial" w:hAnsi="Arial" w:eastAsia="宋体"/>
      <w:b/>
      <w:color w:val="000000"/>
      <w:kern w:val="2"/>
      <w:sz w:val="24"/>
      <w:szCs w:val="24"/>
      <w:lang w:val="en-US" w:eastAsia="zh-CN" w:bidi="ar-SA"/>
    </w:rPr>
  </w:style>
  <w:style w:type="character" w:customStyle="1" w:styleId="335">
    <w:name w:val="Char Char2"/>
    <w:qFormat/>
    <w:uiPriority w:val="0"/>
    <w:rPr>
      <w:rFonts w:ascii="Arial" w:hAnsi="Arial" w:eastAsia="宋体"/>
      <w:b/>
      <w:kern w:val="2"/>
      <w:sz w:val="44"/>
      <w:lang w:val="en-US" w:eastAsia="zh-CN" w:bidi="ar-SA"/>
    </w:rPr>
  </w:style>
  <w:style w:type="character" w:customStyle="1" w:styleId="336">
    <w:name w:val="表格文字 Char Char"/>
    <w:qFormat/>
    <w:uiPriority w:val="0"/>
    <w:rPr>
      <w:rFonts w:eastAsia="华文中宋"/>
      <w:bCs/>
      <w:snapToGrid w:val="0"/>
      <w:color w:val="000000"/>
      <w:sz w:val="21"/>
      <w:szCs w:val="24"/>
      <w:lang w:val="en-US" w:eastAsia="zh-CN" w:bidi="ar-SA"/>
    </w:rPr>
  </w:style>
  <w:style w:type="character" w:customStyle="1" w:styleId="337">
    <w:name w:val="Char Char91"/>
    <w:qFormat/>
    <w:locked/>
    <w:uiPriority w:val="0"/>
    <w:rPr>
      <w:rFonts w:ascii="宋体" w:hAnsi="宋体" w:eastAsia="宋体"/>
      <w:kern w:val="2"/>
      <w:sz w:val="18"/>
      <w:szCs w:val="24"/>
      <w:lang w:val="en-US" w:eastAsia="zh-CN" w:bidi="ar-SA"/>
    </w:rPr>
  </w:style>
  <w:style w:type="character" w:customStyle="1" w:styleId="338">
    <w:name w:val="正 文 1 Char Char"/>
    <w:qFormat/>
    <w:uiPriority w:val="0"/>
    <w:rPr>
      <w:rFonts w:ascii="宋体" w:hAnsi="Courier New" w:eastAsia="宋体"/>
      <w:kern w:val="2"/>
      <w:sz w:val="21"/>
      <w:szCs w:val="24"/>
      <w:lang w:val="en-US" w:eastAsia="zh-CN" w:bidi="ar-SA"/>
    </w:rPr>
  </w:style>
  <w:style w:type="character" w:customStyle="1" w:styleId="339">
    <w:name w:val="(1) Char2"/>
    <w:qFormat/>
    <w:uiPriority w:val="0"/>
    <w:rPr>
      <w:rFonts w:ascii="Arial" w:hAnsi="Arial" w:eastAsia="黑体"/>
      <w:b/>
      <w:bCs/>
      <w:kern w:val="2"/>
      <w:sz w:val="24"/>
      <w:szCs w:val="24"/>
      <w:lang w:val="en-US" w:eastAsia="zh-CN" w:bidi="ar-SA"/>
    </w:rPr>
  </w:style>
  <w:style w:type="character" w:customStyle="1" w:styleId="340">
    <w:name w:val="节 Char Char"/>
    <w:qFormat/>
    <w:uiPriority w:val="0"/>
    <w:rPr>
      <w:rFonts w:ascii="宋体" w:hAnsi="宋体" w:eastAsia="宋体" w:cs="宋体"/>
      <w:b/>
      <w:bCs/>
      <w:kern w:val="2"/>
      <w:sz w:val="36"/>
      <w:szCs w:val="36"/>
      <w:lang w:val="en-US" w:eastAsia="zh-CN" w:bidi="ar-SA"/>
    </w:rPr>
  </w:style>
  <w:style w:type="character" w:customStyle="1" w:styleId="341">
    <w:name w:val="样式3 Char Char"/>
    <w:link w:val="342"/>
    <w:qFormat/>
    <w:uiPriority w:val="0"/>
    <w:rPr>
      <w:rFonts w:ascii="宋体" w:hAnsi="宋体"/>
      <w:b/>
      <w:bCs/>
      <w:kern w:val="2"/>
      <w:sz w:val="24"/>
      <w:szCs w:val="28"/>
    </w:rPr>
  </w:style>
  <w:style w:type="paragraph" w:customStyle="1" w:styleId="342">
    <w:name w:val="样式3"/>
    <w:basedOn w:val="6"/>
    <w:link w:val="341"/>
    <w:qFormat/>
    <w:uiPriority w:val="0"/>
    <w:pPr>
      <w:widowControl/>
      <w:snapToGrid w:val="0"/>
      <w:spacing w:before="160" w:after="160" w:line="360" w:lineRule="auto"/>
    </w:pPr>
    <w:rPr>
      <w:rFonts w:ascii="宋体" w:hAnsi="宋体"/>
      <w:sz w:val="24"/>
      <w:szCs w:val="28"/>
    </w:rPr>
  </w:style>
  <w:style w:type="character" w:customStyle="1" w:styleId="343">
    <w:name w:val="页脚 Char Char"/>
    <w:qFormat/>
    <w:uiPriority w:val="0"/>
    <w:rPr>
      <w:rFonts w:eastAsia="宋体"/>
      <w:kern w:val="2"/>
      <w:sz w:val="18"/>
      <w:lang w:val="en-US" w:eastAsia="zh-CN" w:bidi="ar-SA"/>
    </w:rPr>
  </w:style>
  <w:style w:type="character" w:customStyle="1" w:styleId="344">
    <w:name w:val="样式2 Char"/>
    <w:qFormat/>
    <w:uiPriority w:val="0"/>
    <w:rPr>
      <w:rFonts w:ascii="宋体" w:hAnsi="宋体" w:eastAsia="宋体"/>
      <w:kern w:val="1"/>
      <w:sz w:val="24"/>
      <w:szCs w:val="24"/>
      <w:lang w:val="en-US" w:eastAsia="zh-CN" w:bidi="ar-SA"/>
    </w:rPr>
  </w:style>
  <w:style w:type="character" w:customStyle="1" w:styleId="345">
    <w:name w:val="Char Char1"/>
    <w:qFormat/>
    <w:uiPriority w:val="0"/>
    <w:rPr>
      <w:rFonts w:ascii="Arial" w:hAnsi="Arial" w:eastAsia="宋体"/>
      <w:b/>
      <w:bCs/>
      <w:kern w:val="44"/>
      <w:sz w:val="36"/>
      <w:szCs w:val="36"/>
      <w:lang w:val="en-US" w:eastAsia="zh-CN" w:bidi="ar-SA"/>
    </w:rPr>
  </w:style>
  <w:style w:type="character" w:customStyle="1" w:styleId="346">
    <w:name w:val="书籍标题1"/>
    <w:qFormat/>
    <w:uiPriority w:val="0"/>
    <w:rPr>
      <w:b/>
      <w:bCs/>
      <w:smallCaps/>
      <w:spacing w:val="5"/>
    </w:rPr>
  </w:style>
  <w:style w:type="paragraph" w:customStyle="1" w:styleId="347">
    <w:name w:val="A管理模式编号（一）"/>
    <w:basedOn w:val="1"/>
    <w:qFormat/>
    <w:uiPriority w:val="0"/>
    <w:pPr>
      <w:widowControl/>
      <w:spacing w:line="360" w:lineRule="auto"/>
      <w:jc w:val="left"/>
    </w:pPr>
    <w:rPr>
      <w:rFonts w:ascii="宋体" w:hAnsi="长城粗隶书"/>
      <w:sz w:val="24"/>
    </w:rPr>
  </w:style>
  <w:style w:type="paragraph" w:customStyle="1" w:styleId="348">
    <w:name w:val="註解方塊文字"/>
    <w:basedOn w:val="1"/>
    <w:semiHidden/>
    <w:qFormat/>
    <w:uiPriority w:val="0"/>
    <w:pPr>
      <w:widowControl/>
      <w:adjustRightInd w:val="0"/>
      <w:spacing w:line="240" w:lineRule="atLeast"/>
      <w:jc w:val="left"/>
      <w:textAlignment w:val="baseline"/>
    </w:pPr>
    <w:rPr>
      <w:rFonts w:ascii="Arial" w:hAnsi="Arial" w:eastAsia="PMingLiU"/>
      <w:kern w:val="0"/>
      <w:sz w:val="18"/>
      <w:szCs w:val="18"/>
      <w:lang w:eastAsia="zh-TW"/>
    </w:rPr>
  </w:style>
  <w:style w:type="paragraph" w:customStyle="1" w:styleId="349">
    <w:name w:val="xl280"/>
    <w:basedOn w:val="1"/>
    <w:qFormat/>
    <w:uiPriority w:val="0"/>
    <w:pPr>
      <w:widowControl/>
      <w:pBdr>
        <w:top w:val="single" w:color="auto" w:sz="8" w:space="0"/>
        <w:left w:val="single" w:color="auto" w:sz="8" w:space="0"/>
      </w:pBdr>
      <w:spacing w:before="100" w:beforeAutospacing="1" w:after="100" w:afterAutospacing="1" w:line="240" w:lineRule="atLeast"/>
      <w:jc w:val="center"/>
      <w:textAlignment w:val="top"/>
    </w:pPr>
    <w:rPr>
      <w:color w:val="000000"/>
      <w:kern w:val="0"/>
      <w:sz w:val="16"/>
      <w:szCs w:val="16"/>
    </w:rPr>
  </w:style>
  <w:style w:type="paragraph" w:customStyle="1" w:styleId="350">
    <w:name w:val="xl346"/>
    <w:basedOn w:val="1"/>
    <w:qFormat/>
    <w:uiPriority w:val="0"/>
    <w:pPr>
      <w:widowControl/>
      <w:pBdr>
        <w:top w:val="single" w:color="auto" w:sz="8" w:space="0"/>
        <w:left w:val="single" w:color="000000"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351">
    <w:name w:val="xl175"/>
    <w:basedOn w:val="1"/>
    <w:qFormat/>
    <w:uiPriority w:val="0"/>
    <w:pPr>
      <w:widowControl/>
      <w:pBdr>
        <w:top w:val="single" w:color="000000"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352">
    <w:name w:val="Char Char Char Char Char Char Char Char Char Char Char Char Char Char Char Char Char Char Char Char Char Char Char Char Char Char Char Char Char Char"/>
    <w:basedOn w:val="1"/>
    <w:qFormat/>
    <w:uiPriority w:val="0"/>
    <w:pPr>
      <w:widowControl/>
      <w:spacing w:line="360" w:lineRule="auto"/>
      <w:jc w:val="left"/>
    </w:pPr>
    <w:rPr>
      <w:rFonts w:eastAsia="仿宋_GB2312"/>
      <w:b/>
      <w:sz w:val="32"/>
      <w:szCs w:val="24"/>
    </w:rPr>
  </w:style>
  <w:style w:type="paragraph" w:customStyle="1" w:styleId="353">
    <w:name w:val="xl188"/>
    <w:basedOn w:val="1"/>
    <w:qFormat/>
    <w:uiPriority w:val="0"/>
    <w:pPr>
      <w:widowControl/>
      <w:pBdr>
        <w:top w:val="single" w:color="auto" w:sz="8" w:space="0"/>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54">
    <w:name w:val="xl151"/>
    <w:basedOn w:val="1"/>
    <w:qFormat/>
    <w:uiPriority w:val="0"/>
    <w:pPr>
      <w:widowControl/>
      <w:pBdr>
        <w:top w:val="single" w:color="auto" w:sz="8" w:space="0"/>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55">
    <w:name w:val="xl228"/>
    <w:basedOn w:val="1"/>
    <w:qFormat/>
    <w:uiPriority w:val="0"/>
    <w:pPr>
      <w:widowControl/>
      <w:pBdr>
        <w:top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356">
    <w:name w:val="xl351"/>
    <w:basedOn w:val="1"/>
    <w:qFormat/>
    <w:uiPriority w:val="0"/>
    <w:pPr>
      <w:widowControl/>
      <w:pBdr>
        <w:top w:val="single" w:color="000000" w:sz="8" w:space="0"/>
        <w:left w:val="single" w:color="000000" w:sz="8" w:space="0"/>
      </w:pBdr>
      <w:spacing w:before="100" w:beforeAutospacing="1" w:after="100" w:afterAutospacing="1" w:line="240" w:lineRule="atLeast"/>
      <w:jc w:val="left"/>
      <w:textAlignment w:val="top"/>
    </w:pPr>
    <w:rPr>
      <w:rFonts w:ascii="宋体" w:hAnsi="宋体" w:cs="宋体"/>
      <w:color w:val="000000"/>
      <w:kern w:val="0"/>
      <w:sz w:val="20"/>
    </w:rPr>
  </w:style>
  <w:style w:type="character" w:customStyle="1" w:styleId="357">
    <w:name w:val="称呼 Char2"/>
    <w:basedOn w:val="64"/>
    <w:qFormat/>
    <w:uiPriority w:val="99"/>
    <w:rPr>
      <w:kern w:val="2"/>
      <w:sz w:val="21"/>
    </w:rPr>
  </w:style>
  <w:style w:type="paragraph" w:customStyle="1" w:styleId="358">
    <w:name w:val="xl134"/>
    <w:basedOn w:val="1"/>
    <w:qFormat/>
    <w:uiPriority w:val="0"/>
    <w:pPr>
      <w:widowControl/>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359">
    <w:name w:val="xl302"/>
    <w:basedOn w:val="1"/>
    <w:qFormat/>
    <w:uiPriority w:val="0"/>
    <w:pPr>
      <w:widowControl/>
      <w:pBdr>
        <w:left w:val="single" w:color="auto" w:sz="8" w:space="0"/>
        <w:bottom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60">
    <w:name w:val="xl197"/>
    <w:basedOn w:val="1"/>
    <w:qFormat/>
    <w:uiPriority w:val="0"/>
    <w:pPr>
      <w:widowControl/>
      <w:pBdr>
        <w:left w:val="single" w:color="000000" w:sz="8" w:space="0"/>
        <w:bottom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61">
    <w:name w:val="xl335"/>
    <w:basedOn w:val="1"/>
    <w:qFormat/>
    <w:uiPriority w:val="0"/>
    <w:pPr>
      <w:widowControl/>
      <w:pBdr>
        <w:left w:val="single" w:color="000000" w:sz="8" w:space="0"/>
        <w:bottom w:val="single" w:color="auto" w:sz="8" w:space="0"/>
      </w:pBdr>
      <w:spacing w:before="100" w:beforeAutospacing="1" w:after="100" w:afterAutospacing="1" w:line="240" w:lineRule="atLeast"/>
      <w:jc w:val="left"/>
    </w:pPr>
    <w:rPr>
      <w:rFonts w:ascii="宋体" w:hAnsi="宋体" w:cs="宋体"/>
      <w:color w:val="000000"/>
      <w:kern w:val="0"/>
      <w:sz w:val="18"/>
      <w:szCs w:val="18"/>
    </w:rPr>
  </w:style>
  <w:style w:type="paragraph" w:customStyle="1" w:styleId="362">
    <w:name w:val="xl81"/>
    <w:basedOn w:val="1"/>
    <w:qFormat/>
    <w:uiPriority w:val="0"/>
    <w:pPr>
      <w:widowControl/>
      <w:pBdr>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363">
    <w:name w:val="xl205"/>
    <w:basedOn w:val="1"/>
    <w:qFormat/>
    <w:uiPriority w:val="0"/>
    <w:pPr>
      <w:widowControl/>
      <w:pBdr>
        <w:top w:val="single" w:color="000000" w:sz="8" w:space="0"/>
        <w:left w:val="single" w:color="auto" w:sz="8" w:space="0"/>
        <w:righ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64">
    <w:name w:val="xl246"/>
    <w:basedOn w:val="1"/>
    <w:qFormat/>
    <w:uiPriority w:val="0"/>
    <w:pPr>
      <w:widowControl/>
      <w:pBdr>
        <w:top w:val="single" w:color="auto" w:sz="8" w:space="0"/>
        <w:righ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365">
    <w:name w:val="xl115"/>
    <w:basedOn w:val="1"/>
    <w:qFormat/>
    <w:uiPriority w:val="0"/>
    <w:pPr>
      <w:widowControl/>
      <w:pBdr>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66">
    <w:name w:val="xl190"/>
    <w:basedOn w:val="1"/>
    <w:qFormat/>
    <w:uiPriority w:val="0"/>
    <w:pPr>
      <w:widowControl/>
      <w:pBdr>
        <w:top w:val="single" w:color="000000" w:sz="8" w:space="0"/>
        <w:left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67">
    <w:name w:val="xl262"/>
    <w:basedOn w:val="1"/>
    <w:qFormat/>
    <w:uiPriority w:val="0"/>
    <w:pPr>
      <w:widowControl/>
      <w:pBdr>
        <w:right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368">
    <w:name w:val="xl118"/>
    <w:basedOn w:val="1"/>
    <w:qFormat/>
    <w:uiPriority w:val="0"/>
    <w:pPr>
      <w:widowControl/>
      <w:pBdr>
        <w:top w:val="single" w:color="auto" w:sz="8" w:space="0"/>
        <w:lef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369">
    <w:name w:val="xl120"/>
    <w:basedOn w:val="1"/>
    <w:qFormat/>
    <w:uiPriority w:val="0"/>
    <w:pPr>
      <w:widowControl/>
      <w:pBdr>
        <w:bottom w:val="single" w:color="000000" w:sz="8" w:space="0"/>
      </w:pBdr>
      <w:spacing w:before="100" w:beforeAutospacing="1" w:after="100" w:afterAutospacing="1" w:line="240" w:lineRule="atLeast"/>
      <w:jc w:val="right"/>
    </w:pPr>
    <w:rPr>
      <w:rFonts w:ascii="宋体" w:hAnsi="宋体" w:cs="宋体"/>
      <w:color w:val="000000"/>
      <w:kern w:val="0"/>
      <w:sz w:val="16"/>
      <w:szCs w:val="16"/>
    </w:rPr>
  </w:style>
  <w:style w:type="paragraph" w:customStyle="1" w:styleId="370">
    <w:name w:val="xl286"/>
    <w:basedOn w:val="1"/>
    <w:qFormat/>
    <w:uiPriority w:val="0"/>
    <w:pPr>
      <w:widowControl/>
      <w:pBdr>
        <w:left w:val="single" w:color="auto" w:sz="8" w:space="0"/>
        <w:bottom w:val="single" w:color="auto" w:sz="8" w:space="0"/>
      </w:pBdr>
      <w:spacing w:before="100" w:beforeAutospacing="1" w:after="100" w:afterAutospacing="1" w:line="240" w:lineRule="atLeast"/>
      <w:jc w:val="center"/>
      <w:textAlignment w:val="top"/>
    </w:pPr>
    <w:rPr>
      <w:color w:val="000000"/>
      <w:kern w:val="0"/>
      <w:sz w:val="16"/>
      <w:szCs w:val="16"/>
    </w:rPr>
  </w:style>
  <w:style w:type="paragraph" w:customStyle="1" w:styleId="371">
    <w:name w:val="xl193"/>
    <w:basedOn w:val="1"/>
    <w:qFormat/>
    <w:uiPriority w:val="0"/>
    <w:pPr>
      <w:widowControl/>
      <w:pBdr>
        <w:top w:val="single" w:color="000000" w:sz="8" w:space="0"/>
        <w:bottom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72">
    <w:name w:val="xl336"/>
    <w:basedOn w:val="1"/>
    <w:qFormat/>
    <w:uiPriority w:val="0"/>
    <w:pPr>
      <w:widowControl/>
      <w:pBdr>
        <w:left w:val="single" w:color="000000" w:sz="8" w:space="0"/>
        <w:bottom w:val="single" w:color="auto" w:sz="8" w:space="0"/>
        <w:right w:val="single" w:color="auto" w:sz="8" w:space="0"/>
      </w:pBdr>
      <w:spacing w:before="100" w:beforeAutospacing="1" w:after="100" w:afterAutospacing="1" w:line="240" w:lineRule="atLeast"/>
      <w:jc w:val="center"/>
    </w:pPr>
    <w:rPr>
      <w:rFonts w:ascii="宋体" w:hAnsi="宋体" w:cs="宋体"/>
      <w:color w:val="000000"/>
      <w:kern w:val="0"/>
      <w:sz w:val="18"/>
      <w:szCs w:val="18"/>
    </w:rPr>
  </w:style>
  <w:style w:type="paragraph" w:customStyle="1" w:styleId="373">
    <w:name w:val="xl192"/>
    <w:basedOn w:val="1"/>
    <w:qFormat/>
    <w:uiPriority w:val="0"/>
    <w:pPr>
      <w:widowControl/>
      <w:pBdr>
        <w:top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74">
    <w:name w:val="Char Char Char Char1"/>
    <w:basedOn w:val="1"/>
    <w:qFormat/>
    <w:uiPriority w:val="0"/>
    <w:pPr>
      <w:widowControl/>
      <w:spacing w:line="360" w:lineRule="auto"/>
      <w:jc w:val="left"/>
    </w:pPr>
    <w:rPr>
      <w:rFonts w:ascii="宋体" w:hAnsi="宋体"/>
      <w:sz w:val="24"/>
      <w:szCs w:val="24"/>
    </w:rPr>
  </w:style>
  <w:style w:type="paragraph" w:customStyle="1" w:styleId="375">
    <w:name w:val="xl108"/>
    <w:basedOn w:val="1"/>
    <w:qFormat/>
    <w:uiPriority w:val="0"/>
    <w:pPr>
      <w:widowControl/>
      <w:spacing w:before="100" w:beforeAutospacing="1" w:after="100" w:afterAutospacing="1" w:line="240" w:lineRule="atLeast"/>
      <w:jc w:val="left"/>
      <w:textAlignment w:val="top"/>
    </w:pPr>
    <w:rPr>
      <w:color w:val="000000"/>
      <w:kern w:val="0"/>
      <w:sz w:val="16"/>
      <w:szCs w:val="16"/>
    </w:rPr>
  </w:style>
  <w:style w:type="paragraph" w:customStyle="1" w:styleId="376">
    <w:name w:val="xl88"/>
    <w:basedOn w:val="1"/>
    <w:qFormat/>
    <w:uiPriority w:val="0"/>
    <w:pPr>
      <w:widowControl/>
      <w:pBdr>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77">
    <w:name w:val="Char Char Char Char Char Char Char Char Char Char Char Char Char Char Char Char Char Char Char Char Char Char Char Char Char Char Char Char"/>
    <w:basedOn w:val="1"/>
    <w:qFormat/>
    <w:uiPriority w:val="0"/>
    <w:pPr>
      <w:widowControl/>
      <w:spacing w:line="360" w:lineRule="auto"/>
      <w:jc w:val="left"/>
    </w:pPr>
    <w:rPr>
      <w:rFonts w:eastAsia="仿宋_GB2312"/>
      <w:b/>
      <w:sz w:val="32"/>
      <w:szCs w:val="24"/>
    </w:rPr>
  </w:style>
  <w:style w:type="paragraph" w:customStyle="1" w:styleId="378">
    <w:name w:val="xl259"/>
    <w:basedOn w:val="1"/>
    <w:qFormat/>
    <w:uiPriority w:val="0"/>
    <w:pPr>
      <w:widowControl/>
      <w:pBdr>
        <w:top w:val="single" w:color="000000" w:sz="8" w:space="0"/>
        <w:right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379">
    <w:name w:val="xl214"/>
    <w:basedOn w:val="1"/>
    <w:qFormat/>
    <w:uiPriority w:val="0"/>
    <w:pPr>
      <w:widowControl/>
      <w:pBdr>
        <w:top w:val="single" w:color="000000" w:sz="8" w:space="0"/>
        <w:lef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80">
    <w:name w:val="xl94"/>
    <w:basedOn w:val="1"/>
    <w:qFormat/>
    <w:uiPriority w:val="0"/>
    <w:pPr>
      <w:widowControl/>
      <w:spacing w:before="100" w:beforeAutospacing="1" w:after="100" w:afterAutospacing="1" w:line="240" w:lineRule="atLeast"/>
      <w:jc w:val="right"/>
      <w:textAlignment w:val="top"/>
    </w:pPr>
    <w:rPr>
      <w:rFonts w:ascii="宋体" w:hAnsi="宋体" w:cs="宋体"/>
      <w:kern w:val="0"/>
      <w:sz w:val="16"/>
      <w:szCs w:val="16"/>
    </w:rPr>
  </w:style>
  <w:style w:type="paragraph" w:customStyle="1" w:styleId="381">
    <w:name w:val="xl347"/>
    <w:basedOn w:val="1"/>
    <w:qFormat/>
    <w:uiPriority w:val="0"/>
    <w:pPr>
      <w:widowControl/>
      <w:pBdr>
        <w:top w:val="single" w:color="auto" w:sz="8" w:space="0"/>
        <w:left w:val="single" w:color="000000" w:sz="8" w:space="0"/>
        <w:right w:val="single" w:color="auto"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382">
    <w:name w:val="标书节"/>
    <w:basedOn w:val="1"/>
    <w:qFormat/>
    <w:uiPriority w:val="0"/>
    <w:pPr>
      <w:widowControl/>
      <w:spacing w:line="360" w:lineRule="auto"/>
      <w:jc w:val="center"/>
    </w:pPr>
    <w:rPr>
      <w:sz w:val="28"/>
    </w:rPr>
  </w:style>
  <w:style w:type="paragraph" w:customStyle="1" w:styleId="383">
    <w:name w:val="xl300"/>
    <w:basedOn w:val="1"/>
    <w:qFormat/>
    <w:uiPriority w:val="0"/>
    <w:pPr>
      <w:widowControl/>
      <w:pBdr>
        <w:top w:val="single" w:color="000000" w:sz="8" w:space="0"/>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84">
    <w:name w:val="xl156"/>
    <w:basedOn w:val="1"/>
    <w:qFormat/>
    <w:uiPriority w:val="0"/>
    <w:pPr>
      <w:widowControl/>
      <w:pBdr>
        <w:top w:val="single" w:color="000000"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85">
    <w:name w:val="列出段落5"/>
    <w:basedOn w:val="1"/>
    <w:qFormat/>
    <w:uiPriority w:val="34"/>
    <w:pPr>
      <w:widowControl/>
      <w:spacing w:line="240" w:lineRule="atLeast"/>
      <w:ind w:firstLine="420" w:firstLineChars="200"/>
      <w:jc w:val="left"/>
    </w:pPr>
    <w:rPr>
      <w:szCs w:val="24"/>
    </w:rPr>
  </w:style>
  <w:style w:type="paragraph" w:customStyle="1" w:styleId="386">
    <w:name w:val="xl264"/>
    <w:basedOn w:val="1"/>
    <w:qFormat/>
    <w:uiPriority w:val="0"/>
    <w:pPr>
      <w:widowControl/>
      <w:pBdr>
        <w:bottom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387">
    <w:name w:val="xl212"/>
    <w:basedOn w:val="1"/>
    <w:qFormat/>
    <w:uiPriority w:val="0"/>
    <w:pPr>
      <w:widowControl/>
      <w:pBdr>
        <w:top w:val="single" w:color="auto" w:sz="8" w:space="0"/>
      </w:pBdr>
      <w:spacing w:before="100" w:beforeAutospacing="1" w:after="100" w:afterAutospacing="1" w:line="240" w:lineRule="atLeast"/>
      <w:jc w:val="left"/>
    </w:pPr>
    <w:rPr>
      <w:rFonts w:ascii="宋体" w:hAnsi="宋体" w:cs="宋体"/>
      <w:color w:val="FF0000"/>
      <w:kern w:val="0"/>
      <w:sz w:val="16"/>
      <w:szCs w:val="16"/>
    </w:rPr>
  </w:style>
  <w:style w:type="paragraph" w:customStyle="1" w:styleId="388">
    <w:name w:val="xl107"/>
    <w:basedOn w:val="1"/>
    <w:qFormat/>
    <w:uiPriority w:val="0"/>
    <w:pPr>
      <w:widowControl/>
      <w:pBdr>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389">
    <w:name w:val="xl296"/>
    <w:basedOn w:val="1"/>
    <w:qFormat/>
    <w:uiPriority w:val="0"/>
    <w:pPr>
      <w:widowControl/>
      <w:pBdr>
        <w:lef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390">
    <w:name w:val="xl172"/>
    <w:basedOn w:val="1"/>
    <w:qFormat/>
    <w:uiPriority w:val="0"/>
    <w:pPr>
      <w:widowControl/>
      <w:pBdr>
        <w:top w:val="single" w:color="000000" w:sz="8" w:space="0"/>
        <w:lef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391">
    <w:name w:val="xl194"/>
    <w:basedOn w:val="1"/>
    <w:qFormat/>
    <w:uiPriority w:val="0"/>
    <w:pPr>
      <w:widowControl/>
      <w:pBdr>
        <w:top w:val="single" w:color="000000" w:sz="8" w:space="0"/>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92">
    <w:name w:val="xl257"/>
    <w:basedOn w:val="1"/>
    <w:qFormat/>
    <w:uiPriority w:val="0"/>
    <w:pPr>
      <w:widowControl/>
      <w:pBdr>
        <w:top w:val="single" w:color="000000" w:sz="8" w:space="0"/>
        <w:left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393">
    <w:name w:val="xl206"/>
    <w:basedOn w:val="1"/>
    <w:qFormat/>
    <w:uiPriority w:val="0"/>
    <w:pPr>
      <w:widowControl/>
      <w:pBdr>
        <w:left w:val="single" w:color="auto" w:sz="8" w:space="0"/>
        <w:bottom w:val="single" w:color="000000" w:sz="8" w:space="0"/>
        <w:righ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character" w:customStyle="1" w:styleId="394">
    <w:name w:val="明显引用 Char1"/>
    <w:basedOn w:val="64"/>
    <w:qFormat/>
    <w:uiPriority w:val="30"/>
    <w:rPr>
      <w:i/>
      <w:iCs/>
      <w:color w:val="4F81BD" w:themeColor="accent1"/>
      <w:kern w:val="2"/>
      <w:sz w:val="21"/>
      <w14:textFill>
        <w14:solidFill>
          <w14:schemeClr w14:val="accent1"/>
        </w14:solidFill>
      </w14:textFill>
    </w:rPr>
  </w:style>
  <w:style w:type="paragraph" w:customStyle="1" w:styleId="395">
    <w:name w:val="Char Char Char Char Char Char Char1"/>
    <w:basedOn w:val="1"/>
    <w:qFormat/>
    <w:uiPriority w:val="0"/>
    <w:pPr>
      <w:widowControl/>
      <w:spacing w:line="360" w:lineRule="auto"/>
      <w:jc w:val="left"/>
    </w:pPr>
    <w:rPr>
      <w:rFonts w:eastAsia="仿宋_GB2312"/>
      <w:b/>
      <w:sz w:val="32"/>
      <w:szCs w:val="24"/>
    </w:rPr>
  </w:style>
  <w:style w:type="paragraph" w:customStyle="1" w:styleId="396">
    <w:name w:val="Char Char Char Char Char Char Char Char Char Char Char Char Char Char Char Char Char Char1 Char Char Char Char Char Char Char Char Char Char1"/>
    <w:basedOn w:val="1"/>
    <w:qFormat/>
    <w:uiPriority w:val="0"/>
    <w:pPr>
      <w:widowControl/>
      <w:spacing w:line="360" w:lineRule="auto"/>
      <w:jc w:val="left"/>
    </w:pPr>
    <w:rPr>
      <w:rFonts w:eastAsia="仿宋_GB2312"/>
      <w:b/>
      <w:sz w:val="32"/>
      <w:szCs w:val="24"/>
    </w:rPr>
  </w:style>
  <w:style w:type="paragraph" w:customStyle="1" w:styleId="397">
    <w:name w:val="xl117"/>
    <w:basedOn w:val="1"/>
    <w:qFormat/>
    <w:uiPriority w:val="0"/>
    <w:pPr>
      <w:widowControl/>
      <w:pBdr>
        <w:bottom w:val="single" w:color="auto"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98">
    <w:name w:val="xl232"/>
    <w:basedOn w:val="1"/>
    <w:qFormat/>
    <w:uiPriority w:val="0"/>
    <w:pPr>
      <w:widowControl/>
      <w:pBdr>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399">
    <w:name w:val="xl313"/>
    <w:basedOn w:val="1"/>
    <w:qFormat/>
    <w:uiPriority w:val="0"/>
    <w:pPr>
      <w:widowControl/>
      <w:pBdr>
        <w:top w:val="single" w:color="auto" w:sz="8" w:space="0"/>
        <w:bottom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00">
    <w:name w:val="xl201"/>
    <w:basedOn w:val="1"/>
    <w:qFormat/>
    <w:uiPriority w:val="0"/>
    <w:pPr>
      <w:widowControl/>
      <w:pBdr>
        <w:top w:val="single" w:color="auto" w:sz="8" w:space="0"/>
        <w:left w:val="single" w:color="000000" w:sz="8" w:space="0"/>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01">
    <w:name w:val="xl240"/>
    <w:basedOn w:val="1"/>
    <w:qFormat/>
    <w:uiPriority w:val="0"/>
    <w:pPr>
      <w:widowControl/>
      <w:spacing w:before="100" w:beforeAutospacing="1" w:after="100" w:afterAutospacing="1" w:line="240" w:lineRule="atLeast"/>
      <w:jc w:val="left"/>
    </w:pPr>
    <w:rPr>
      <w:color w:val="000000"/>
      <w:kern w:val="0"/>
      <w:sz w:val="16"/>
      <w:szCs w:val="16"/>
    </w:rPr>
  </w:style>
  <w:style w:type="paragraph" w:customStyle="1" w:styleId="402">
    <w:name w:val="xl348"/>
    <w:basedOn w:val="1"/>
    <w:qFormat/>
    <w:uiPriority w:val="0"/>
    <w:pPr>
      <w:widowControl/>
      <w:pBdr>
        <w:top w:val="single" w:color="auto" w:sz="8" w:space="0"/>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20"/>
    </w:rPr>
  </w:style>
  <w:style w:type="paragraph" w:customStyle="1" w:styleId="403">
    <w:name w:val="xl72"/>
    <w:basedOn w:val="1"/>
    <w:qFormat/>
    <w:uiPriority w:val="0"/>
    <w:pPr>
      <w:widowControl/>
      <w:pBdr>
        <w:top w:val="single" w:color="auto" w:sz="8" w:space="0"/>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character" w:customStyle="1" w:styleId="404">
    <w:name w:val="HTML 预设格式 Char1"/>
    <w:basedOn w:val="64"/>
    <w:semiHidden/>
    <w:qFormat/>
    <w:uiPriority w:val="99"/>
    <w:rPr>
      <w:rFonts w:ascii="Courier New" w:hAnsi="Courier New" w:cs="Courier New"/>
      <w:kern w:val="2"/>
    </w:rPr>
  </w:style>
  <w:style w:type="paragraph" w:customStyle="1" w:styleId="405">
    <w:name w:val="xl116"/>
    <w:basedOn w:val="1"/>
    <w:qFormat/>
    <w:uiPriority w:val="0"/>
    <w:pPr>
      <w:widowControl/>
      <w:pBdr>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06">
    <w:name w:val="xl321"/>
    <w:basedOn w:val="1"/>
    <w:qFormat/>
    <w:uiPriority w:val="0"/>
    <w:pPr>
      <w:widowControl/>
      <w:pBdr>
        <w:top w:val="single" w:color="auto" w:sz="8" w:space="0"/>
        <w:left w:val="single" w:color="auto" w:sz="8" w:space="0"/>
        <w:bottom w:val="single" w:color="auto"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407">
    <w:name w:val="xl301"/>
    <w:basedOn w:val="1"/>
    <w:qFormat/>
    <w:uiPriority w:val="0"/>
    <w:pPr>
      <w:widowControl/>
      <w:pBdr>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08">
    <w:name w:val="xl69"/>
    <w:basedOn w:val="1"/>
    <w:qFormat/>
    <w:uiPriority w:val="0"/>
    <w:pPr>
      <w:widowControl/>
      <w:spacing w:before="100" w:beforeAutospacing="1" w:after="100" w:afterAutospacing="1" w:line="240" w:lineRule="atLeast"/>
      <w:jc w:val="left"/>
    </w:pPr>
    <w:rPr>
      <w:color w:val="000000"/>
      <w:kern w:val="0"/>
      <w:sz w:val="16"/>
      <w:szCs w:val="16"/>
    </w:rPr>
  </w:style>
  <w:style w:type="character" w:customStyle="1" w:styleId="409">
    <w:name w:val="副标题 Char1"/>
    <w:basedOn w:val="64"/>
    <w:qFormat/>
    <w:uiPriority w:val="11"/>
    <w:rPr>
      <w:rFonts w:asciiTheme="majorHAnsi" w:hAnsiTheme="majorHAnsi" w:cstheme="majorBidi"/>
      <w:b/>
      <w:bCs/>
      <w:kern w:val="28"/>
      <w:sz w:val="32"/>
      <w:szCs w:val="32"/>
    </w:rPr>
  </w:style>
  <w:style w:type="paragraph" w:customStyle="1" w:styleId="410">
    <w:name w:val="xl145"/>
    <w:basedOn w:val="1"/>
    <w:qFormat/>
    <w:uiPriority w:val="0"/>
    <w:pPr>
      <w:widowControl/>
      <w:pBdr>
        <w:left w:val="single" w:color="000000" w:sz="8" w:space="0"/>
      </w:pBdr>
      <w:spacing w:before="100" w:beforeAutospacing="1" w:after="100" w:afterAutospacing="1" w:line="240" w:lineRule="atLeast"/>
      <w:jc w:val="left"/>
      <w:textAlignment w:val="top"/>
    </w:pPr>
    <w:rPr>
      <w:color w:val="000000"/>
      <w:kern w:val="0"/>
      <w:sz w:val="16"/>
      <w:szCs w:val="16"/>
    </w:rPr>
  </w:style>
  <w:style w:type="paragraph" w:customStyle="1" w:styleId="411">
    <w:name w:val="xl329"/>
    <w:basedOn w:val="1"/>
    <w:qFormat/>
    <w:uiPriority w:val="0"/>
    <w:pPr>
      <w:widowControl/>
      <w:pBdr>
        <w:top w:val="single" w:color="auto" w:sz="8" w:space="0"/>
        <w:lef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12">
    <w:name w:val="xl327"/>
    <w:basedOn w:val="1"/>
    <w:qFormat/>
    <w:uiPriority w:val="0"/>
    <w:pPr>
      <w:widowControl/>
      <w:pBdr>
        <w:bottom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413">
    <w:name w:val="xl342"/>
    <w:basedOn w:val="1"/>
    <w:qFormat/>
    <w:uiPriority w:val="0"/>
    <w:pPr>
      <w:widowControl/>
      <w:pBdr>
        <w:right w:val="single" w:color="000000" w:sz="8" w:space="0"/>
      </w:pBdr>
      <w:spacing w:before="100" w:beforeAutospacing="1" w:after="100" w:afterAutospacing="1" w:line="240" w:lineRule="atLeast"/>
      <w:jc w:val="left"/>
      <w:textAlignment w:val="top"/>
    </w:pPr>
    <w:rPr>
      <w:kern w:val="0"/>
      <w:sz w:val="20"/>
    </w:rPr>
  </w:style>
  <w:style w:type="paragraph" w:customStyle="1" w:styleId="414">
    <w:name w:val="xl105"/>
    <w:basedOn w:val="1"/>
    <w:qFormat/>
    <w:uiPriority w:val="0"/>
    <w:pPr>
      <w:widowControl/>
      <w:pBdr>
        <w:righ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15">
    <w:name w:val="xl315"/>
    <w:basedOn w:val="1"/>
    <w:qFormat/>
    <w:uiPriority w:val="0"/>
    <w:pPr>
      <w:widowControl/>
      <w:pBdr>
        <w:top w:val="single" w:color="auto" w:sz="8" w:space="0"/>
        <w:left w:val="single" w:color="auto" w:sz="8" w:space="0"/>
        <w:bottom w:val="single" w:color="auto" w:sz="8" w:space="0"/>
      </w:pBdr>
      <w:spacing w:before="100" w:beforeAutospacing="1" w:after="100" w:afterAutospacing="1" w:line="240" w:lineRule="atLeast"/>
      <w:jc w:val="left"/>
    </w:pPr>
    <w:rPr>
      <w:color w:val="000000"/>
      <w:kern w:val="0"/>
      <w:sz w:val="16"/>
      <w:szCs w:val="16"/>
    </w:rPr>
  </w:style>
  <w:style w:type="paragraph" w:customStyle="1" w:styleId="416">
    <w:name w:val="xl83"/>
    <w:basedOn w:val="1"/>
    <w:qFormat/>
    <w:uiPriority w:val="0"/>
    <w:pPr>
      <w:widowControl/>
      <w:pBdr>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17">
    <w:name w:val="xl218"/>
    <w:basedOn w:val="1"/>
    <w:qFormat/>
    <w:uiPriority w:val="0"/>
    <w:pPr>
      <w:widowControl/>
      <w:pBdr>
        <w:bottom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18">
    <w:name w:val="xl249"/>
    <w:basedOn w:val="1"/>
    <w:qFormat/>
    <w:uiPriority w:val="0"/>
    <w:pPr>
      <w:widowControl/>
      <w:pBdr>
        <w:left w:val="single" w:color="000000" w:sz="8" w:space="0"/>
        <w:bottom w:val="single" w:color="000000"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19">
    <w:name w:val="xl113"/>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20">
    <w:name w:val="xl270"/>
    <w:basedOn w:val="1"/>
    <w:qFormat/>
    <w:uiPriority w:val="0"/>
    <w:pPr>
      <w:widowControl/>
      <w:pBdr>
        <w:top w:val="single" w:color="auto"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21">
    <w:name w:val="xl267"/>
    <w:basedOn w:val="1"/>
    <w:qFormat/>
    <w:uiPriority w:val="0"/>
    <w:pPr>
      <w:widowControl/>
      <w:pBdr>
        <w:top w:val="single" w:color="auto" w:sz="8" w:space="0"/>
        <w:left w:val="single" w:color="000000"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22">
    <w:name w:val="题1"/>
    <w:basedOn w:val="1"/>
    <w:qFormat/>
    <w:uiPriority w:val="0"/>
    <w:pPr>
      <w:widowControl/>
      <w:adjustRightInd w:val="0"/>
      <w:spacing w:after="60" w:line="240" w:lineRule="atLeast"/>
      <w:ind w:firstLine="510"/>
      <w:jc w:val="left"/>
      <w:textAlignment w:val="baseline"/>
    </w:pPr>
    <w:rPr>
      <w:rFonts w:ascii="楷体_GB2312" w:eastAsia="楷体_GB2312"/>
      <w:b/>
      <w:spacing w:val="15"/>
      <w:kern w:val="0"/>
    </w:rPr>
  </w:style>
  <w:style w:type="paragraph" w:customStyle="1" w:styleId="423">
    <w:name w:val="xl247"/>
    <w:basedOn w:val="1"/>
    <w:qFormat/>
    <w:uiPriority w:val="0"/>
    <w:pPr>
      <w:widowControl/>
      <w:pBdr>
        <w:top w:val="single" w:color="auto" w:sz="8" w:space="0"/>
        <w:lef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24">
    <w:name w:val="_Style 19"/>
    <w:basedOn w:val="1"/>
    <w:next w:val="49"/>
    <w:qFormat/>
    <w:uiPriority w:val="0"/>
    <w:pPr>
      <w:widowControl/>
      <w:overflowPunct w:val="0"/>
      <w:autoSpaceDE w:val="0"/>
      <w:autoSpaceDN w:val="0"/>
      <w:adjustRightInd w:val="0"/>
      <w:spacing w:line="360" w:lineRule="auto"/>
      <w:ind w:firstLine="540"/>
      <w:jc w:val="left"/>
      <w:textAlignment w:val="baseline"/>
    </w:pPr>
    <w:rPr>
      <w:rFonts w:ascii="宋体" w:hAnsi="MS Sans Serif"/>
      <w:color w:val="000000"/>
      <w:kern w:val="0"/>
      <w:sz w:val="24"/>
    </w:rPr>
  </w:style>
  <w:style w:type="paragraph" w:customStyle="1" w:styleId="425">
    <w:name w:val="xl162"/>
    <w:basedOn w:val="1"/>
    <w:qFormat/>
    <w:uiPriority w:val="0"/>
    <w:pPr>
      <w:widowControl/>
      <w:pBdr>
        <w:top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26">
    <w:name w:val="xl219"/>
    <w:basedOn w:val="1"/>
    <w:qFormat/>
    <w:uiPriority w:val="0"/>
    <w:pPr>
      <w:widowControl/>
      <w:pBdr>
        <w:top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27">
    <w:name w:val="xl328"/>
    <w:basedOn w:val="1"/>
    <w:qFormat/>
    <w:uiPriority w:val="0"/>
    <w:pPr>
      <w:widowControl/>
      <w:pBdr>
        <w:bottom w:val="single" w:color="auto" w:sz="8" w:space="0"/>
        <w:right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428">
    <w:name w:val="xl167"/>
    <w:basedOn w:val="1"/>
    <w:qFormat/>
    <w:uiPriority w:val="0"/>
    <w:pPr>
      <w:widowControl/>
      <w:pBdr>
        <w:top w:val="single" w:color="auto"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29">
    <w:name w:val="xl334"/>
    <w:basedOn w:val="1"/>
    <w:qFormat/>
    <w:uiPriority w:val="0"/>
    <w:pPr>
      <w:widowControl/>
      <w:pBdr>
        <w:left w:val="single" w:color="auto" w:sz="8" w:space="0"/>
        <w:bottom w:val="single" w:color="auto"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430">
    <w:name w:val="xl82"/>
    <w:basedOn w:val="1"/>
    <w:qFormat/>
    <w:uiPriority w:val="0"/>
    <w:pPr>
      <w:widowControl/>
      <w:pBdr>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31">
    <w:name w:val="题1.1.1"/>
    <w:basedOn w:val="1"/>
    <w:qFormat/>
    <w:uiPriority w:val="0"/>
    <w:pPr>
      <w:widowControl/>
      <w:adjustRightInd w:val="0"/>
      <w:spacing w:line="240" w:lineRule="atLeast"/>
      <w:ind w:left="964" w:firstLine="454"/>
      <w:jc w:val="left"/>
      <w:textAlignment w:val="baseline"/>
    </w:pPr>
    <w:rPr>
      <w:rFonts w:ascii="楷体_GB2312" w:eastAsia="楷体_GB2312"/>
      <w:spacing w:val="5"/>
      <w:kern w:val="0"/>
    </w:rPr>
  </w:style>
  <w:style w:type="paragraph" w:customStyle="1" w:styleId="432">
    <w:name w:val="xl331"/>
    <w:basedOn w:val="1"/>
    <w:qFormat/>
    <w:uiPriority w:val="0"/>
    <w:pPr>
      <w:widowControl/>
      <w:pBdr>
        <w:left w:val="single" w:color="auto"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433">
    <w:name w:val="xl161"/>
    <w:basedOn w:val="1"/>
    <w:qFormat/>
    <w:uiPriority w:val="0"/>
    <w:pPr>
      <w:widowControl/>
      <w:pBdr>
        <w:top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34">
    <w:name w:val="xl184"/>
    <w:basedOn w:val="1"/>
    <w:qFormat/>
    <w:uiPriority w:val="0"/>
    <w:pPr>
      <w:widowControl/>
      <w:spacing w:before="100" w:beforeAutospacing="1" w:after="100" w:afterAutospacing="1" w:line="240" w:lineRule="atLeast"/>
      <w:jc w:val="left"/>
    </w:pPr>
    <w:rPr>
      <w:rFonts w:ascii="宋体" w:hAnsi="宋体" w:cs="宋体"/>
      <w:color w:val="000000"/>
      <w:kern w:val="0"/>
      <w:sz w:val="16"/>
      <w:szCs w:val="16"/>
    </w:rPr>
  </w:style>
  <w:style w:type="paragraph" w:customStyle="1" w:styleId="435">
    <w:name w:val="xl272"/>
    <w:basedOn w:val="1"/>
    <w:qFormat/>
    <w:uiPriority w:val="0"/>
    <w:pPr>
      <w:widowControl/>
      <w:pBdr>
        <w:top w:val="single" w:color="auto" w:sz="8" w:space="0"/>
        <w:right w:val="single" w:color="000000" w:sz="8" w:space="0"/>
      </w:pBdr>
      <w:spacing w:before="100" w:beforeAutospacing="1" w:after="100" w:afterAutospacing="1" w:line="240" w:lineRule="atLeast"/>
      <w:jc w:val="left"/>
    </w:pPr>
    <w:rPr>
      <w:color w:val="000000"/>
      <w:kern w:val="0"/>
      <w:sz w:val="16"/>
      <w:szCs w:val="16"/>
    </w:rPr>
  </w:style>
  <w:style w:type="paragraph" w:customStyle="1" w:styleId="436">
    <w:name w:val="xl168"/>
    <w:basedOn w:val="1"/>
    <w:qFormat/>
    <w:uiPriority w:val="0"/>
    <w:pPr>
      <w:widowControl/>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37">
    <w:name w:val="xl133"/>
    <w:basedOn w:val="1"/>
    <w:qFormat/>
    <w:uiPriority w:val="0"/>
    <w:pPr>
      <w:widowControl/>
      <w:pBdr>
        <w:top w:val="single" w:color="auto" w:sz="8" w:space="0"/>
        <w:right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438">
    <w:name w:val="xl230"/>
    <w:basedOn w:val="1"/>
    <w:qFormat/>
    <w:uiPriority w:val="0"/>
    <w:pPr>
      <w:widowControl/>
      <w:pBdr>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39">
    <w:name w:val="tx8179tqrtx8309faauto lo"/>
    <w:qFormat/>
    <w:uiPriority w:val="0"/>
    <w:pPr>
      <w:widowControl w:val="0"/>
      <w:autoSpaceDE w:val="0"/>
      <w:autoSpaceDN w:val="0"/>
      <w:adjustRightInd w:val="0"/>
      <w:spacing w:line="240" w:lineRule="atLeast"/>
      <w:ind w:right="850"/>
    </w:pPr>
    <w:rPr>
      <w:rFonts w:ascii="MingLiU" w:hAnsi="Times New Roman" w:eastAsia="MingLiU" w:cs="Times New Roman"/>
      <w:lang w:val="en-US" w:eastAsia="zh-TW" w:bidi="ar-SA"/>
    </w:rPr>
  </w:style>
  <w:style w:type="paragraph" w:customStyle="1" w:styleId="440">
    <w:name w:val="xl97"/>
    <w:basedOn w:val="1"/>
    <w:qFormat/>
    <w:uiPriority w:val="0"/>
    <w:pPr>
      <w:widowControl/>
      <w:pBdr>
        <w:top w:val="single" w:color="auto" w:sz="8" w:space="0"/>
        <w:left w:val="single" w:color="000000"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441">
    <w:name w:val="xl229"/>
    <w:basedOn w:val="1"/>
    <w:qFormat/>
    <w:uiPriority w:val="0"/>
    <w:pPr>
      <w:widowControl/>
      <w:pBdr>
        <w:top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42">
    <w:name w:val="xl325"/>
    <w:basedOn w:val="1"/>
    <w:qFormat/>
    <w:uiPriority w:val="0"/>
    <w:pPr>
      <w:widowControl/>
      <w:pBdr>
        <w:bottom w:val="single" w:color="auto" w:sz="8" w:space="0"/>
        <w:right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443">
    <w:name w:val="xl234"/>
    <w:basedOn w:val="1"/>
    <w:qFormat/>
    <w:uiPriority w:val="0"/>
    <w:pPr>
      <w:widowControl/>
      <w:pBdr>
        <w:top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44">
    <w:name w:val="xl140"/>
    <w:basedOn w:val="1"/>
    <w:qFormat/>
    <w:uiPriority w:val="0"/>
    <w:pPr>
      <w:widowControl/>
      <w:pBdr>
        <w:top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45">
    <w:name w:val="xl263"/>
    <w:basedOn w:val="1"/>
    <w:qFormat/>
    <w:uiPriority w:val="0"/>
    <w:pPr>
      <w:widowControl/>
      <w:pBdr>
        <w:left w:val="single" w:color="000000" w:sz="8" w:space="0"/>
        <w:bottom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446">
    <w:name w:val="xl236"/>
    <w:basedOn w:val="1"/>
    <w:qFormat/>
    <w:uiPriority w:val="0"/>
    <w:pPr>
      <w:widowControl/>
      <w:pBdr>
        <w:left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447">
    <w:name w:val="xl250"/>
    <w:basedOn w:val="1"/>
    <w:qFormat/>
    <w:uiPriority w:val="0"/>
    <w:pPr>
      <w:widowControl/>
      <w:pBdr>
        <w:top w:val="single" w:color="000000" w:sz="8" w:space="0"/>
        <w:left w:val="single" w:color="000000"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48">
    <w:name w:val="xl209"/>
    <w:basedOn w:val="1"/>
    <w:qFormat/>
    <w:uiPriority w:val="0"/>
    <w:pPr>
      <w:widowControl/>
      <w:pBdr>
        <w:top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49">
    <w:name w:val="xl207"/>
    <w:basedOn w:val="1"/>
    <w:qFormat/>
    <w:uiPriority w:val="0"/>
    <w:pPr>
      <w:widowControl/>
      <w:pBdr>
        <w:top w:val="single" w:color="000000" w:sz="8" w:space="0"/>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50">
    <w:name w:val="xl136"/>
    <w:basedOn w:val="1"/>
    <w:qFormat/>
    <w:uiPriority w:val="0"/>
    <w:pPr>
      <w:widowControl/>
      <w:pBdr>
        <w:bottom w:val="single" w:color="000000"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451">
    <w:name w:val="xl237"/>
    <w:basedOn w:val="1"/>
    <w:qFormat/>
    <w:uiPriority w:val="0"/>
    <w:pPr>
      <w:widowControl/>
      <w:pBdr>
        <w:lef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52">
    <w:name w:val="xl324"/>
    <w:basedOn w:val="1"/>
    <w:qFormat/>
    <w:uiPriority w:val="0"/>
    <w:pPr>
      <w:widowControl/>
      <w:pBdr>
        <w:left w:val="single" w:color="auto" w:sz="8" w:space="0"/>
        <w:bottom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453">
    <w:name w:val="xl210"/>
    <w:basedOn w:val="1"/>
    <w:qFormat/>
    <w:uiPriority w:val="0"/>
    <w:pPr>
      <w:widowControl/>
      <w:pBdr>
        <w:top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54">
    <w:name w:val="xl318"/>
    <w:basedOn w:val="1"/>
    <w:qFormat/>
    <w:uiPriority w:val="0"/>
    <w:pPr>
      <w:widowControl/>
      <w:pBdr>
        <w:top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55">
    <w:name w:val="xl340"/>
    <w:basedOn w:val="1"/>
    <w:qFormat/>
    <w:uiPriority w:val="0"/>
    <w:pPr>
      <w:widowControl/>
      <w:pBdr>
        <w:left w:val="single" w:color="auto" w:sz="8" w:space="0"/>
      </w:pBdr>
      <w:spacing w:before="100" w:beforeAutospacing="1" w:after="100" w:afterAutospacing="1" w:line="240" w:lineRule="atLeast"/>
      <w:jc w:val="left"/>
    </w:pPr>
    <w:rPr>
      <w:rFonts w:ascii="宋体" w:hAnsi="宋体" w:cs="宋体"/>
      <w:color w:val="000000"/>
      <w:kern w:val="0"/>
      <w:sz w:val="18"/>
      <w:szCs w:val="18"/>
    </w:rPr>
  </w:style>
  <w:style w:type="paragraph" w:customStyle="1" w:styleId="456">
    <w:name w:val="xl127"/>
    <w:basedOn w:val="1"/>
    <w:qFormat/>
    <w:uiPriority w:val="0"/>
    <w:pPr>
      <w:widowControl/>
      <w:pBdr>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57">
    <w:name w:val="xl226"/>
    <w:basedOn w:val="1"/>
    <w:qFormat/>
    <w:uiPriority w:val="0"/>
    <w:pPr>
      <w:widowControl/>
      <w:pBdr>
        <w:top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58">
    <w:name w:val="TOC 标题1"/>
    <w:basedOn w:val="3"/>
    <w:next w:val="1"/>
    <w:qFormat/>
    <w:uiPriority w:val="39"/>
    <w:pPr>
      <w:widowControl/>
      <w:spacing w:before="340" w:after="330" w:line="576" w:lineRule="auto"/>
      <w:outlineLvl w:val="9"/>
    </w:pPr>
    <w:rPr>
      <w:rFonts w:ascii="Times New Roman" w:hAnsi="Times New Roman"/>
      <w:color w:val="auto"/>
      <w:sz w:val="44"/>
      <w:szCs w:val="44"/>
    </w:rPr>
  </w:style>
  <w:style w:type="paragraph" w:customStyle="1" w:styleId="459">
    <w:name w:val="xl260"/>
    <w:basedOn w:val="1"/>
    <w:qFormat/>
    <w:uiPriority w:val="0"/>
    <w:pPr>
      <w:widowControl/>
      <w:pBdr>
        <w:left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460">
    <w:name w:val="xl122"/>
    <w:basedOn w:val="1"/>
    <w:qFormat/>
    <w:uiPriority w:val="0"/>
    <w:pPr>
      <w:widowControl/>
      <w:pBdr>
        <w:left w:val="single" w:color="000000" w:sz="8" w:space="0"/>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61">
    <w:name w:val="xl276"/>
    <w:basedOn w:val="1"/>
    <w:qFormat/>
    <w:uiPriority w:val="0"/>
    <w:pPr>
      <w:widowControl/>
      <w:pBdr>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62">
    <w:name w:val="xl220"/>
    <w:basedOn w:val="1"/>
    <w:qFormat/>
    <w:uiPriority w:val="0"/>
    <w:pPr>
      <w:widowControl/>
      <w:pBdr>
        <w:left w:val="single" w:color="000000" w:sz="8" w:space="0"/>
        <w:bottom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63">
    <w:name w:val="xl139"/>
    <w:basedOn w:val="1"/>
    <w:qFormat/>
    <w:uiPriority w:val="0"/>
    <w:pPr>
      <w:widowControl/>
      <w:pBdr>
        <w:top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64">
    <w:name w:val="xl244"/>
    <w:basedOn w:val="1"/>
    <w:qFormat/>
    <w:uiPriority w:val="0"/>
    <w:pPr>
      <w:widowControl/>
      <w:pBdr>
        <w:left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65">
    <w:name w:val="5 三级标题"/>
    <w:basedOn w:val="466"/>
    <w:qFormat/>
    <w:uiPriority w:val="0"/>
    <w:pPr>
      <w:spacing w:beforeLines="0"/>
      <w:ind w:left="708" w:hanging="708" w:hangingChars="295"/>
    </w:pPr>
    <w:rPr>
      <w:rFonts w:ascii="宋体" w:hAnsi="宋体"/>
      <w:b w:val="0"/>
      <w:bCs w:val="0"/>
      <w:sz w:val="24"/>
    </w:rPr>
  </w:style>
  <w:style w:type="paragraph" w:customStyle="1" w:styleId="466">
    <w:name w:val="4 二级标题"/>
    <w:basedOn w:val="467"/>
    <w:qFormat/>
    <w:uiPriority w:val="0"/>
    <w:pPr>
      <w:widowControl w:val="0"/>
      <w:spacing w:line="440" w:lineRule="exact"/>
      <w:ind w:left="851" w:hanging="426"/>
    </w:pPr>
    <w:rPr>
      <w:sz w:val="28"/>
    </w:rPr>
  </w:style>
  <w:style w:type="paragraph" w:customStyle="1" w:styleId="467">
    <w:name w:val="3 一级标题"/>
    <w:basedOn w:val="385"/>
    <w:qFormat/>
    <w:uiPriority w:val="0"/>
    <w:pPr>
      <w:spacing w:beforeLines="50"/>
      <w:ind w:left="425" w:firstLine="0" w:firstLineChars="0"/>
    </w:pPr>
    <w:rPr>
      <w:b/>
      <w:bCs/>
      <w:sz w:val="32"/>
      <w:szCs w:val="20"/>
    </w:rPr>
  </w:style>
  <w:style w:type="paragraph" w:customStyle="1" w:styleId="468">
    <w:name w:val="xl92"/>
    <w:basedOn w:val="1"/>
    <w:qFormat/>
    <w:uiPriority w:val="0"/>
    <w:pPr>
      <w:widowControl/>
      <w:pBdr>
        <w:lef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69">
    <w:name w:val="xl238"/>
    <w:basedOn w:val="1"/>
    <w:qFormat/>
    <w:uiPriority w:val="0"/>
    <w:pPr>
      <w:widowControl/>
      <w:pBdr>
        <w:right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70">
    <w:name w:val="xl177"/>
    <w:basedOn w:val="1"/>
    <w:qFormat/>
    <w:uiPriority w:val="0"/>
    <w:pPr>
      <w:widowControl/>
      <w:pBdr>
        <w:bottom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71">
    <w:name w:val="xl314"/>
    <w:basedOn w:val="1"/>
    <w:qFormat/>
    <w:uiPriority w:val="0"/>
    <w:pPr>
      <w:widowControl/>
      <w:pBdr>
        <w:top w:val="single" w:color="000000" w:sz="8" w:space="0"/>
        <w:left w:val="single" w:color="000000"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72">
    <w:name w:val="xl350"/>
    <w:basedOn w:val="1"/>
    <w:qFormat/>
    <w:uiPriority w:val="0"/>
    <w:pPr>
      <w:widowControl/>
      <w:pBdr>
        <w:left w:val="single" w:color="auto" w:sz="8" w:space="0"/>
        <w:bottom w:val="single" w:color="000000" w:sz="8" w:space="0"/>
        <w:right w:val="single" w:color="auto" w:sz="8" w:space="0"/>
      </w:pBdr>
      <w:spacing w:before="100" w:beforeAutospacing="1" w:after="100" w:afterAutospacing="1" w:line="240" w:lineRule="atLeast"/>
      <w:jc w:val="left"/>
    </w:pPr>
    <w:rPr>
      <w:rFonts w:ascii="宋体" w:hAnsi="宋体" w:cs="宋体"/>
      <w:color w:val="000000"/>
      <w:kern w:val="0"/>
      <w:sz w:val="20"/>
    </w:rPr>
  </w:style>
  <w:style w:type="paragraph" w:customStyle="1" w:styleId="473">
    <w:name w:val="xl282"/>
    <w:basedOn w:val="1"/>
    <w:qFormat/>
    <w:uiPriority w:val="0"/>
    <w:pPr>
      <w:widowControl/>
      <w:pBdr>
        <w:top w:val="single" w:color="auto" w:sz="8" w:space="0"/>
        <w:right w:val="single" w:color="000000" w:sz="8" w:space="0"/>
      </w:pBdr>
      <w:spacing w:before="100" w:beforeAutospacing="1" w:after="100" w:afterAutospacing="1" w:line="240" w:lineRule="atLeast"/>
      <w:jc w:val="center"/>
      <w:textAlignment w:val="top"/>
    </w:pPr>
    <w:rPr>
      <w:color w:val="000000"/>
      <w:kern w:val="0"/>
      <w:sz w:val="16"/>
      <w:szCs w:val="16"/>
    </w:rPr>
  </w:style>
  <w:style w:type="paragraph" w:customStyle="1" w:styleId="474">
    <w:name w:val="xl281"/>
    <w:basedOn w:val="1"/>
    <w:qFormat/>
    <w:uiPriority w:val="0"/>
    <w:pPr>
      <w:widowControl/>
      <w:pBdr>
        <w:top w:val="single" w:color="auto" w:sz="8" w:space="0"/>
      </w:pBdr>
      <w:spacing w:before="100" w:beforeAutospacing="1" w:after="100" w:afterAutospacing="1" w:line="240" w:lineRule="atLeast"/>
      <w:jc w:val="center"/>
      <w:textAlignment w:val="top"/>
    </w:pPr>
    <w:rPr>
      <w:color w:val="000000"/>
      <w:kern w:val="0"/>
      <w:sz w:val="16"/>
      <w:szCs w:val="16"/>
    </w:rPr>
  </w:style>
  <w:style w:type="paragraph" w:customStyle="1" w:styleId="475">
    <w:name w:val="xl305"/>
    <w:basedOn w:val="1"/>
    <w:qFormat/>
    <w:uiPriority w:val="0"/>
    <w:pPr>
      <w:widowControl/>
      <w:pBdr>
        <w:left w:val="single" w:color="000000" w:sz="8" w:space="0"/>
        <w:bottom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76">
    <w:name w:val="xl124"/>
    <w:basedOn w:val="1"/>
    <w:qFormat/>
    <w:uiPriority w:val="0"/>
    <w:pPr>
      <w:widowControl/>
      <w:pBdr>
        <w:top w:val="single" w:color="auto" w:sz="8" w:space="0"/>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77">
    <w:name w:val="xl225"/>
    <w:basedOn w:val="1"/>
    <w:qFormat/>
    <w:uiPriority w:val="0"/>
    <w:pPr>
      <w:widowControl/>
      <w:pBdr>
        <w:bottom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78">
    <w:name w:val="xl77"/>
    <w:basedOn w:val="1"/>
    <w:qFormat/>
    <w:uiPriority w:val="0"/>
    <w:pPr>
      <w:widowControl/>
      <w:pBdr>
        <w:top w:val="single" w:color="auto" w:sz="8" w:space="0"/>
        <w:left w:val="single" w:color="auto"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79">
    <w:name w:val="xl307"/>
    <w:basedOn w:val="1"/>
    <w:qFormat/>
    <w:uiPriority w:val="0"/>
    <w:pPr>
      <w:widowControl/>
      <w:pBdr>
        <w:top w:val="single" w:color="000000" w:sz="8" w:space="0"/>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80">
    <w:name w:val="xl211"/>
    <w:basedOn w:val="1"/>
    <w:qFormat/>
    <w:uiPriority w:val="0"/>
    <w:pPr>
      <w:widowControl/>
      <w:pBdr>
        <w:top w:val="single" w:color="auto" w:sz="8" w:space="0"/>
        <w:left w:val="single" w:color="auto" w:sz="8" w:space="0"/>
      </w:pBdr>
      <w:spacing w:before="100" w:beforeAutospacing="1" w:after="100" w:afterAutospacing="1" w:line="240" w:lineRule="atLeast"/>
      <w:jc w:val="left"/>
    </w:pPr>
    <w:rPr>
      <w:rFonts w:ascii="宋体" w:hAnsi="宋体" w:cs="宋体"/>
      <w:color w:val="FF0000"/>
      <w:kern w:val="0"/>
      <w:sz w:val="16"/>
      <w:szCs w:val="16"/>
    </w:rPr>
  </w:style>
  <w:style w:type="paragraph" w:customStyle="1" w:styleId="481">
    <w:name w:val="xl245"/>
    <w:basedOn w:val="1"/>
    <w:qFormat/>
    <w:uiPriority w:val="0"/>
    <w:pPr>
      <w:widowControl/>
      <w:pBdr>
        <w:left w:val="single" w:color="auto" w:sz="8" w:space="0"/>
      </w:pBdr>
      <w:spacing w:before="100" w:beforeAutospacing="1" w:after="100" w:afterAutospacing="1" w:line="240" w:lineRule="atLeast"/>
      <w:jc w:val="left"/>
    </w:pPr>
    <w:rPr>
      <w:color w:val="000000"/>
      <w:kern w:val="0"/>
      <w:sz w:val="16"/>
      <w:szCs w:val="16"/>
    </w:rPr>
  </w:style>
  <w:style w:type="paragraph" w:customStyle="1" w:styleId="482">
    <w:name w:val="xl106"/>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83">
    <w:name w:val="xl112"/>
    <w:basedOn w:val="1"/>
    <w:qFormat/>
    <w:uiPriority w:val="0"/>
    <w:pPr>
      <w:widowControl/>
      <w:spacing w:before="100" w:beforeAutospacing="1" w:after="100" w:afterAutospacing="1" w:line="240" w:lineRule="atLeast"/>
      <w:jc w:val="left"/>
      <w:textAlignment w:val="top"/>
    </w:pPr>
    <w:rPr>
      <w:color w:val="000000"/>
      <w:kern w:val="0"/>
      <w:sz w:val="16"/>
      <w:szCs w:val="16"/>
    </w:rPr>
  </w:style>
  <w:style w:type="paragraph" w:customStyle="1" w:styleId="484">
    <w:name w:val="xl349"/>
    <w:basedOn w:val="1"/>
    <w:qFormat/>
    <w:uiPriority w:val="0"/>
    <w:pPr>
      <w:widowControl/>
      <w:pBdr>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20"/>
    </w:rPr>
  </w:style>
  <w:style w:type="paragraph" w:customStyle="1" w:styleId="485">
    <w:name w:val="xl146"/>
    <w:basedOn w:val="1"/>
    <w:qFormat/>
    <w:uiPriority w:val="0"/>
    <w:pPr>
      <w:widowControl/>
      <w:pBdr>
        <w:right w:val="single" w:color="000000" w:sz="8" w:space="0"/>
      </w:pBdr>
      <w:spacing w:before="100" w:beforeAutospacing="1" w:after="100" w:afterAutospacing="1" w:line="240" w:lineRule="atLeast"/>
      <w:jc w:val="left"/>
      <w:textAlignment w:val="top"/>
    </w:pPr>
    <w:rPr>
      <w:color w:val="000000"/>
      <w:kern w:val="0"/>
      <w:sz w:val="16"/>
      <w:szCs w:val="16"/>
    </w:rPr>
  </w:style>
  <w:style w:type="paragraph" w:customStyle="1" w:styleId="486">
    <w:name w:val="xl289"/>
    <w:basedOn w:val="1"/>
    <w:qFormat/>
    <w:uiPriority w:val="0"/>
    <w:pPr>
      <w:widowControl/>
      <w:spacing w:before="100" w:beforeAutospacing="1" w:after="100" w:afterAutospacing="1" w:line="240" w:lineRule="atLeast"/>
      <w:jc w:val="left"/>
      <w:textAlignment w:val="top"/>
    </w:pPr>
    <w:rPr>
      <w:rFonts w:ascii="宋体" w:hAnsi="宋体" w:cs="宋体"/>
      <w:kern w:val="0"/>
      <w:sz w:val="16"/>
      <w:szCs w:val="16"/>
    </w:rPr>
  </w:style>
  <w:style w:type="paragraph" w:customStyle="1" w:styleId="487">
    <w:name w:val="Char Char Char Char Char Char1 Char"/>
    <w:basedOn w:val="1"/>
    <w:qFormat/>
    <w:uiPriority w:val="0"/>
    <w:pPr>
      <w:widowControl/>
      <w:spacing w:line="360" w:lineRule="auto"/>
      <w:jc w:val="left"/>
    </w:pPr>
    <w:rPr>
      <w:rFonts w:eastAsia="仿宋_GB2312"/>
      <w:b/>
      <w:sz w:val="32"/>
      <w:szCs w:val="24"/>
    </w:rPr>
  </w:style>
  <w:style w:type="paragraph" w:customStyle="1" w:styleId="488">
    <w:name w:val="xl231"/>
    <w:basedOn w:val="1"/>
    <w:qFormat/>
    <w:uiPriority w:val="0"/>
    <w:pPr>
      <w:widowControl/>
      <w:pBdr>
        <w:left w:val="single" w:color="auto" w:sz="8" w:space="0"/>
        <w:bottom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89">
    <w:name w:val="xl154"/>
    <w:basedOn w:val="1"/>
    <w:qFormat/>
    <w:uiPriority w:val="0"/>
    <w:pPr>
      <w:widowControl/>
      <w:pBdr>
        <w:top w:val="single" w:color="000000" w:sz="8" w:space="0"/>
        <w:lef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90">
    <w:name w:val="xl198"/>
    <w:basedOn w:val="1"/>
    <w:qFormat/>
    <w:uiPriority w:val="0"/>
    <w:pPr>
      <w:widowControl/>
      <w:pBdr>
        <w:bottom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491">
    <w:name w:val="xl322"/>
    <w:basedOn w:val="1"/>
    <w:qFormat/>
    <w:uiPriority w:val="0"/>
    <w:pPr>
      <w:widowControl/>
      <w:pBdr>
        <w:top w:val="single" w:color="auto" w:sz="8" w:space="0"/>
        <w:bottom w:val="single" w:color="auto"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492">
    <w:name w:val="xl95"/>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493">
    <w:name w:val="Char Char Char Char Char Char Char Char Char Char Char"/>
    <w:basedOn w:val="1"/>
    <w:qFormat/>
    <w:uiPriority w:val="0"/>
    <w:pPr>
      <w:widowControl/>
      <w:adjustRightInd w:val="0"/>
      <w:spacing w:line="436" w:lineRule="exact"/>
      <w:jc w:val="left"/>
      <w:outlineLvl w:val="3"/>
    </w:pPr>
    <w:rPr>
      <w:rFonts w:ascii="Tahoma" w:hAnsi="Tahoma"/>
      <w:b/>
      <w:sz w:val="24"/>
      <w:szCs w:val="24"/>
    </w:rPr>
  </w:style>
  <w:style w:type="paragraph" w:customStyle="1" w:styleId="494">
    <w:name w:val="xl158"/>
    <w:basedOn w:val="1"/>
    <w:qFormat/>
    <w:uiPriority w:val="0"/>
    <w:pPr>
      <w:widowControl/>
      <w:pBdr>
        <w:bottom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495">
    <w:name w:val="xl130"/>
    <w:basedOn w:val="1"/>
    <w:qFormat/>
    <w:uiPriority w:val="0"/>
    <w:pPr>
      <w:widowControl/>
      <w:pBdr>
        <w:righ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96">
    <w:name w:val="xl213"/>
    <w:basedOn w:val="1"/>
    <w:qFormat/>
    <w:uiPriority w:val="0"/>
    <w:pPr>
      <w:widowControl/>
      <w:pBdr>
        <w:top w:val="single" w:color="auto" w:sz="8" w:space="0"/>
        <w:right w:val="single" w:color="000000" w:sz="8" w:space="0"/>
      </w:pBdr>
      <w:spacing w:before="100" w:beforeAutospacing="1" w:after="100" w:afterAutospacing="1" w:line="240" w:lineRule="atLeast"/>
      <w:jc w:val="left"/>
    </w:pPr>
    <w:rPr>
      <w:rFonts w:ascii="宋体" w:hAnsi="宋体" w:cs="宋体"/>
      <w:color w:val="FF0000"/>
      <w:kern w:val="0"/>
      <w:sz w:val="16"/>
      <w:szCs w:val="16"/>
    </w:rPr>
  </w:style>
  <w:style w:type="paragraph" w:customStyle="1" w:styleId="497">
    <w:name w:val="xl171"/>
    <w:basedOn w:val="1"/>
    <w:qFormat/>
    <w:uiPriority w:val="0"/>
    <w:pPr>
      <w:widowControl/>
      <w:pBdr>
        <w:bottom w:val="single" w:color="000000"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498">
    <w:name w:val="xl101"/>
    <w:basedOn w:val="1"/>
    <w:qFormat/>
    <w:uiPriority w:val="0"/>
    <w:pPr>
      <w:widowControl/>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499">
    <w:name w:val="xl277"/>
    <w:basedOn w:val="1"/>
    <w:qFormat/>
    <w:uiPriority w:val="0"/>
    <w:pPr>
      <w:widowControl/>
      <w:pBdr>
        <w:top w:val="single" w:color="auto" w:sz="8" w:space="0"/>
        <w:left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500">
    <w:name w:val="xl319"/>
    <w:basedOn w:val="1"/>
    <w:qFormat/>
    <w:uiPriority w:val="0"/>
    <w:pPr>
      <w:widowControl/>
      <w:pBdr>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01">
    <w:name w:val="zhang"/>
    <w:basedOn w:val="1"/>
    <w:qFormat/>
    <w:uiPriority w:val="0"/>
    <w:pPr>
      <w:widowControl/>
      <w:spacing w:line="240" w:lineRule="atLeast"/>
      <w:jc w:val="left"/>
    </w:pPr>
    <w:rPr>
      <w:rFonts w:ascii="宋体" w:hAnsi="宋体" w:cs="宋体"/>
      <w:b/>
      <w:bCs/>
      <w:smallCaps/>
      <w:color w:val="000000"/>
      <w:kern w:val="0"/>
      <w:sz w:val="20"/>
    </w:rPr>
  </w:style>
  <w:style w:type="paragraph" w:customStyle="1" w:styleId="502">
    <w:name w:val="xl147"/>
    <w:basedOn w:val="1"/>
    <w:qFormat/>
    <w:uiPriority w:val="0"/>
    <w:pPr>
      <w:widowControl/>
      <w:pBdr>
        <w:left w:val="single" w:color="000000" w:sz="8" w:space="0"/>
        <w:bottom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503">
    <w:name w:val="Char21"/>
    <w:basedOn w:val="1"/>
    <w:qFormat/>
    <w:uiPriority w:val="0"/>
    <w:pPr>
      <w:widowControl/>
      <w:spacing w:line="360" w:lineRule="auto"/>
      <w:jc w:val="left"/>
    </w:pPr>
    <w:rPr>
      <w:rFonts w:ascii="宋体" w:hAnsi="宋体"/>
      <w:sz w:val="24"/>
      <w:szCs w:val="24"/>
    </w:rPr>
  </w:style>
  <w:style w:type="paragraph" w:customStyle="1" w:styleId="504">
    <w:name w:val="xl279"/>
    <w:basedOn w:val="1"/>
    <w:qFormat/>
    <w:uiPriority w:val="0"/>
    <w:pPr>
      <w:widowControl/>
      <w:pBdr>
        <w:top w:val="single" w:color="auto" w:sz="8" w:space="0"/>
        <w:right w:val="single" w:color="000000" w:sz="8" w:space="0"/>
      </w:pBdr>
      <w:spacing w:before="100" w:beforeAutospacing="1" w:after="100" w:afterAutospacing="1" w:line="240" w:lineRule="atLeast"/>
      <w:jc w:val="left"/>
      <w:textAlignment w:val="top"/>
    </w:pPr>
    <w:rPr>
      <w:color w:val="000000"/>
      <w:kern w:val="0"/>
      <w:sz w:val="16"/>
      <w:szCs w:val="16"/>
    </w:rPr>
  </w:style>
  <w:style w:type="paragraph" w:customStyle="1" w:styleId="505">
    <w:name w:val="xl221"/>
    <w:basedOn w:val="1"/>
    <w:qFormat/>
    <w:uiPriority w:val="0"/>
    <w:pPr>
      <w:widowControl/>
      <w:pBdr>
        <w:bottom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06">
    <w:name w:val="xl93"/>
    <w:basedOn w:val="1"/>
    <w:qFormat/>
    <w:uiPriority w:val="0"/>
    <w:pPr>
      <w:widowControl/>
      <w:pBdr>
        <w:left w:val="single" w:color="auto" w:sz="8" w:space="0"/>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07">
    <w:name w:val="xl131"/>
    <w:basedOn w:val="1"/>
    <w:qFormat/>
    <w:uiPriority w:val="0"/>
    <w:pPr>
      <w:widowControl/>
      <w:pBdr>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08">
    <w:name w:val="Listing1"/>
    <w:basedOn w:val="1"/>
    <w:qFormat/>
    <w:uiPriority w:val="0"/>
    <w:pPr>
      <w:widowControl/>
      <w:tabs>
        <w:tab w:val="left" w:pos="1185"/>
      </w:tabs>
      <w:spacing w:line="240" w:lineRule="atLeast"/>
      <w:ind w:left="1185" w:hanging="645"/>
      <w:jc w:val="left"/>
    </w:pPr>
    <w:rPr>
      <w:sz w:val="24"/>
      <w:szCs w:val="24"/>
    </w:rPr>
  </w:style>
  <w:style w:type="paragraph" w:customStyle="1" w:styleId="509">
    <w:name w:val="xl75"/>
    <w:basedOn w:val="1"/>
    <w:qFormat/>
    <w:uiPriority w:val="0"/>
    <w:pPr>
      <w:widowControl/>
      <w:pBdr>
        <w:top w:val="single" w:color="auto" w:sz="8" w:space="0"/>
        <w:lef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10">
    <w:name w:val="xl126"/>
    <w:basedOn w:val="1"/>
    <w:qFormat/>
    <w:uiPriority w:val="0"/>
    <w:pPr>
      <w:widowControl/>
      <w:spacing w:before="100" w:beforeAutospacing="1" w:after="100" w:afterAutospacing="1" w:line="240" w:lineRule="atLeast"/>
      <w:jc w:val="left"/>
    </w:pPr>
    <w:rPr>
      <w:rFonts w:ascii="宋体" w:hAnsi="宋体" w:cs="宋体"/>
      <w:color w:val="000000"/>
      <w:kern w:val="0"/>
      <w:sz w:val="16"/>
      <w:szCs w:val="16"/>
    </w:rPr>
  </w:style>
  <w:style w:type="paragraph" w:customStyle="1" w:styleId="511">
    <w:name w:val="xl256"/>
    <w:basedOn w:val="1"/>
    <w:qFormat/>
    <w:uiPriority w:val="0"/>
    <w:pPr>
      <w:widowControl/>
      <w:pBdr>
        <w:top w:val="single" w:color="000000" w:sz="8" w:space="0"/>
        <w:right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12">
    <w:name w:val="xl273"/>
    <w:basedOn w:val="1"/>
    <w:qFormat/>
    <w:uiPriority w:val="0"/>
    <w:pPr>
      <w:widowControl/>
      <w:pBdr>
        <w:bottom w:val="single" w:color="auto" w:sz="8" w:space="0"/>
      </w:pBdr>
      <w:spacing w:before="100" w:beforeAutospacing="1" w:after="100" w:afterAutospacing="1" w:line="240" w:lineRule="atLeast"/>
      <w:jc w:val="left"/>
    </w:pPr>
    <w:rPr>
      <w:color w:val="000000"/>
      <w:kern w:val="0"/>
      <w:sz w:val="16"/>
      <w:szCs w:val="16"/>
    </w:rPr>
  </w:style>
  <w:style w:type="paragraph" w:customStyle="1" w:styleId="513">
    <w:name w:val="xl317"/>
    <w:basedOn w:val="1"/>
    <w:qFormat/>
    <w:uiPriority w:val="0"/>
    <w:pPr>
      <w:widowControl/>
      <w:pBdr>
        <w:top w:val="single" w:color="auto" w:sz="8" w:space="0"/>
        <w:bottom w:val="single" w:color="auto" w:sz="8" w:space="0"/>
        <w:right w:val="single" w:color="000000" w:sz="8" w:space="0"/>
      </w:pBdr>
      <w:spacing w:before="100" w:beforeAutospacing="1" w:after="100" w:afterAutospacing="1" w:line="240" w:lineRule="atLeast"/>
      <w:jc w:val="left"/>
    </w:pPr>
    <w:rPr>
      <w:color w:val="000000"/>
      <w:kern w:val="0"/>
      <w:sz w:val="16"/>
      <w:szCs w:val="16"/>
    </w:rPr>
  </w:style>
  <w:style w:type="paragraph" w:customStyle="1" w:styleId="514">
    <w:name w:val="正文文本缩进1"/>
    <w:basedOn w:val="1"/>
    <w:qFormat/>
    <w:uiPriority w:val="0"/>
    <w:pPr>
      <w:widowControl/>
      <w:spacing w:line="240" w:lineRule="atLeast"/>
      <w:ind w:firstLine="570"/>
      <w:jc w:val="left"/>
    </w:pPr>
    <w:rPr>
      <w:sz w:val="28"/>
    </w:rPr>
  </w:style>
  <w:style w:type="paragraph" w:customStyle="1" w:styleId="515">
    <w:name w:val="xl155"/>
    <w:basedOn w:val="1"/>
    <w:qFormat/>
    <w:uiPriority w:val="0"/>
    <w:pPr>
      <w:widowControl/>
      <w:pBdr>
        <w:top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16">
    <w:name w:val="xl137"/>
    <w:basedOn w:val="1"/>
    <w:qFormat/>
    <w:uiPriority w:val="0"/>
    <w:pPr>
      <w:widowControl/>
      <w:pBdr>
        <w:bottom w:val="single" w:color="000000" w:sz="8" w:space="0"/>
        <w:right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517">
    <w:name w:val="xl180"/>
    <w:basedOn w:val="1"/>
    <w:qFormat/>
    <w:uiPriority w:val="0"/>
    <w:pPr>
      <w:widowControl/>
      <w:pBdr>
        <w:left w:val="single" w:color="000000" w:sz="8" w:space="0"/>
        <w:bottom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18">
    <w:name w:val="xl85"/>
    <w:basedOn w:val="1"/>
    <w:qFormat/>
    <w:uiPriority w:val="0"/>
    <w:pPr>
      <w:widowControl/>
      <w:pBdr>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19">
    <w:name w:val="修订3"/>
    <w:qFormat/>
    <w:uiPriority w:val="99"/>
    <w:pPr>
      <w:spacing w:line="240" w:lineRule="atLeast"/>
    </w:pPr>
    <w:rPr>
      <w:rFonts w:ascii="Times New Roman" w:hAnsi="Times New Roman" w:eastAsia="宋体" w:cs="Times New Roman"/>
      <w:kern w:val="2"/>
      <w:sz w:val="21"/>
      <w:lang w:val="en-US" w:eastAsia="zh-CN" w:bidi="ar-SA"/>
    </w:rPr>
  </w:style>
  <w:style w:type="paragraph" w:customStyle="1" w:styleId="520">
    <w:name w:val="xl79"/>
    <w:basedOn w:val="1"/>
    <w:qFormat/>
    <w:uiPriority w:val="0"/>
    <w:pPr>
      <w:widowControl/>
      <w:pBdr>
        <w:top w:val="single" w:color="auto" w:sz="8" w:space="0"/>
        <w:left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21">
    <w:name w:val="xl170"/>
    <w:basedOn w:val="1"/>
    <w:qFormat/>
    <w:uiPriority w:val="0"/>
    <w:pPr>
      <w:widowControl/>
      <w:pBdr>
        <w:bottom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22">
    <w:name w:val="xl119"/>
    <w:basedOn w:val="1"/>
    <w:qFormat/>
    <w:uiPriority w:val="0"/>
    <w:pPr>
      <w:widowControl/>
      <w:spacing w:before="100" w:beforeAutospacing="1" w:after="100" w:afterAutospacing="1" w:line="240" w:lineRule="atLeast"/>
      <w:jc w:val="right"/>
    </w:pPr>
    <w:rPr>
      <w:rFonts w:ascii="宋体" w:hAnsi="宋体" w:cs="宋体"/>
      <w:color w:val="000000"/>
      <w:kern w:val="0"/>
      <w:sz w:val="16"/>
      <w:szCs w:val="16"/>
    </w:rPr>
  </w:style>
  <w:style w:type="paragraph" w:customStyle="1" w:styleId="523">
    <w:name w:val="Char Char Char Char Char Char Char Char Char"/>
    <w:basedOn w:val="1"/>
    <w:qFormat/>
    <w:uiPriority w:val="0"/>
    <w:pPr>
      <w:widowControl/>
      <w:spacing w:line="360" w:lineRule="auto"/>
      <w:jc w:val="left"/>
    </w:pPr>
    <w:rPr>
      <w:rFonts w:eastAsia="仿宋_GB2312"/>
      <w:b/>
      <w:sz w:val="32"/>
      <w:szCs w:val="24"/>
    </w:rPr>
  </w:style>
  <w:style w:type="paragraph" w:customStyle="1" w:styleId="524">
    <w:name w:val="xl164"/>
    <w:basedOn w:val="1"/>
    <w:qFormat/>
    <w:uiPriority w:val="0"/>
    <w:pPr>
      <w:widowControl/>
      <w:pBdr>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25">
    <w:name w:val="xl68"/>
    <w:basedOn w:val="1"/>
    <w:qFormat/>
    <w:uiPriority w:val="0"/>
    <w:pPr>
      <w:widowControl/>
      <w:spacing w:before="100" w:beforeAutospacing="1" w:after="100" w:afterAutospacing="1" w:line="240" w:lineRule="atLeast"/>
      <w:jc w:val="left"/>
    </w:pPr>
    <w:rPr>
      <w:color w:val="000000"/>
      <w:kern w:val="0"/>
      <w:sz w:val="16"/>
      <w:szCs w:val="16"/>
    </w:rPr>
  </w:style>
  <w:style w:type="paragraph" w:customStyle="1" w:styleId="526">
    <w:name w:val="xl144"/>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27">
    <w:name w:val="xl323"/>
    <w:basedOn w:val="1"/>
    <w:qFormat/>
    <w:uiPriority w:val="0"/>
    <w:pPr>
      <w:widowControl/>
      <w:pBdr>
        <w:top w:val="single" w:color="auto" w:sz="8" w:space="0"/>
        <w:bottom w:val="single" w:color="auto" w:sz="8" w:space="0"/>
        <w:right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528">
    <w:name w:val="xl141"/>
    <w:basedOn w:val="1"/>
    <w:qFormat/>
    <w:uiPriority w:val="0"/>
    <w:pPr>
      <w:widowControl/>
      <w:pBdr>
        <w:left w:val="single" w:color="auto" w:sz="8" w:space="0"/>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29">
    <w:name w:val="xl295"/>
    <w:basedOn w:val="1"/>
    <w:qFormat/>
    <w:uiPriority w:val="0"/>
    <w:pPr>
      <w:widowControl/>
      <w:pBdr>
        <w:top w:val="single" w:color="auto" w:sz="8" w:space="0"/>
        <w:lef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30">
    <w:name w:val="Char12"/>
    <w:basedOn w:val="1"/>
    <w:qFormat/>
    <w:uiPriority w:val="0"/>
    <w:pPr>
      <w:widowControl/>
      <w:spacing w:line="360" w:lineRule="auto"/>
      <w:jc w:val="left"/>
    </w:pPr>
    <w:rPr>
      <w:rFonts w:ascii="宋体" w:hAnsi="宋体"/>
      <w:sz w:val="24"/>
      <w:szCs w:val="24"/>
    </w:rPr>
  </w:style>
  <w:style w:type="paragraph" w:customStyle="1" w:styleId="531">
    <w:name w:val="xl110"/>
    <w:basedOn w:val="1"/>
    <w:qFormat/>
    <w:uiPriority w:val="0"/>
    <w:pPr>
      <w:widowControl/>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32">
    <w:name w:val="xl166"/>
    <w:basedOn w:val="1"/>
    <w:qFormat/>
    <w:uiPriority w:val="0"/>
    <w:pPr>
      <w:widowControl/>
      <w:pBdr>
        <w:top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33">
    <w:name w:val="xl128"/>
    <w:basedOn w:val="1"/>
    <w:qFormat/>
    <w:uiPriority w:val="0"/>
    <w:pPr>
      <w:widowControl/>
      <w:pBdr>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34">
    <w:name w:val="xl104"/>
    <w:basedOn w:val="1"/>
    <w:qFormat/>
    <w:uiPriority w:val="0"/>
    <w:pPr>
      <w:widowControl/>
      <w:pBdr>
        <w:top w:val="single" w:color="000000" w:sz="8" w:space="0"/>
        <w:lef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35">
    <w:name w:val="xl310"/>
    <w:basedOn w:val="1"/>
    <w:qFormat/>
    <w:uiPriority w:val="0"/>
    <w:pPr>
      <w:widowControl/>
      <w:pBdr>
        <w:top w:val="single" w:color="auto" w:sz="8" w:space="0"/>
        <w:bottom w:val="single" w:color="000000"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36">
    <w:name w:val="xl278"/>
    <w:basedOn w:val="1"/>
    <w:qFormat/>
    <w:uiPriority w:val="0"/>
    <w:pPr>
      <w:widowControl/>
      <w:pBdr>
        <w:top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537">
    <w:name w:val="xl66"/>
    <w:basedOn w:val="1"/>
    <w:qFormat/>
    <w:uiPriority w:val="0"/>
    <w:pPr>
      <w:widowControl/>
      <w:pBdr>
        <w:top w:val="single" w:color="auto" w:sz="8" w:space="0"/>
        <w:bottom w:val="single" w:color="auto" w:sz="8" w:space="0"/>
        <w:right w:val="single" w:color="auto"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538">
    <w:name w:val="xl283"/>
    <w:basedOn w:val="1"/>
    <w:qFormat/>
    <w:uiPriority w:val="0"/>
    <w:pPr>
      <w:widowControl/>
      <w:pBdr>
        <w:left w:val="single" w:color="auto" w:sz="8" w:space="0"/>
      </w:pBdr>
      <w:spacing w:before="100" w:beforeAutospacing="1" w:after="100" w:afterAutospacing="1" w:line="240" w:lineRule="atLeast"/>
      <w:jc w:val="center"/>
      <w:textAlignment w:val="top"/>
    </w:pPr>
    <w:rPr>
      <w:color w:val="000000"/>
      <w:kern w:val="0"/>
      <w:sz w:val="16"/>
      <w:szCs w:val="16"/>
    </w:rPr>
  </w:style>
  <w:style w:type="paragraph" w:customStyle="1" w:styleId="539">
    <w:name w:val="小节"/>
    <w:basedOn w:val="1"/>
    <w:qFormat/>
    <w:uiPriority w:val="0"/>
    <w:pPr>
      <w:widowControl/>
      <w:spacing w:line="360" w:lineRule="auto"/>
      <w:jc w:val="left"/>
    </w:pPr>
    <w:rPr>
      <w:sz w:val="28"/>
    </w:rPr>
  </w:style>
  <w:style w:type="paragraph" w:customStyle="1" w:styleId="540">
    <w:name w:val="xl345"/>
    <w:basedOn w:val="1"/>
    <w:qFormat/>
    <w:uiPriority w:val="0"/>
    <w:pPr>
      <w:widowControl/>
      <w:pBdr>
        <w:top w:val="single" w:color="auto"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8"/>
      <w:szCs w:val="18"/>
    </w:rPr>
  </w:style>
  <w:style w:type="paragraph" w:customStyle="1" w:styleId="541">
    <w:name w:val="xl99"/>
    <w:basedOn w:val="1"/>
    <w:qFormat/>
    <w:uiPriority w:val="0"/>
    <w:pPr>
      <w:widowControl/>
      <w:pBdr>
        <w:left w:val="single" w:color="000000" w:sz="8" w:space="0"/>
        <w:bottom w:val="single" w:color="000000"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542">
    <w:name w:val="xl294"/>
    <w:basedOn w:val="1"/>
    <w:qFormat/>
    <w:uiPriority w:val="0"/>
    <w:pPr>
      <w:widowControl/>
      <w:pBdr>
        <w:top w:val="single" w:color="000000" w:sz="8" w:space="0"/>
        <w:left w:val="single" w:color="000000" w:sz="8" w:space="0"/>
      </w:pBdr>
      <w:spacing w:before="100" w:beforeAutospacing="1" w:after="100" w:afterAutospacing="1" w:line="240" w:lineRule="atLeast"/>
      <w:jc w:val="left"/>
    </w:pPr>
    <w:rPr>
      <w:color w:val="000000"/>
      <w:kern w:val="0"/>
      <w:sz w:val="16"/>
      <w:szCs w:val="16"/>
    </w:rPr>
  </w:style>
  <w:style w:type="paragraph" w:customStyle="1" w:styleId="543">
    <w:name w:val="xl103"/>
    <w:basedOn w:val="1"/>
    <w:qFormat/>
    <w:uiPriority w:val="0"/>
    <w:pPr>
      <w:widowControl/>
      <w:pBdr>
        <w:lef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44">
    <w:name w:val="xl152"/>
    <w:basedOn w:val="1"/>
    <w:qFormat/>
    <w:uiPriority w:val="0"/>
    <w:pPr>
      <w:widowControl/>
      <w:pBdr>
        <w:top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45">
    <w:name w:val="Char Char Char Char Char Char Char Char Char Char Char Char Char Char Char Char Char Char Char Char Char Char Char Char Char Char Char Char1"/>
    <w:basedOn w:val="1"/>
    <w:qFormat/>
    <w:uiPriority w:val="0"/>
    <w:pPr>
      <w:widowControl/>
      <w:spacing w:line="360" w:lineRule="auto"/>
      <w:jc w:val="left"/>
    </w:pPr>
    <w:rPr>
      <w:rFonts w:eastAsia="仿宋_GB2312"/>
      <w:b/>
      <w:sz w:val="32"/>
      <w:szCs w:val="24"/>
    </w:rPr>
  </w:style>
  <w:style w:type="paragraph" w:customStyle="1" w:styleId="546">
    <w:name w:val="xl196"/>
    <w:basedOn w:val="1"/>
    <w:qFormat/>
    <w:uiPriority w:val="0"/>
    <w:pPr>
      <w:widowControl/>
      <w:pBdr>
        <w:top w:val="single" w:color="000000"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47">
    <w:name w:val="xl341"/>
    <w:basedOn w:val="1"/>
    <w:qFormat/>
    <w:uiPriority w:val="0"/>
    <w:pPr>
      <w:widowControl/>
      <w:pBdr>
        <w:left w:val="single" w:color="auto" w:sz="8" w:space="0"/>
        <w:bottom w:val="single" w:color="auto" w:sz="8" w:space="0"/>
      </w:pBdr>
      <w:spacing w:before="100" w:beforeAutospacing="1" w:after="100" w:afterAutospacing="1" w:line="240" w:lineRule="atLeast"/>
      <w:jc w:val="left"/>
    </w:pPr>
    <w:rPr>
      <w:rFonts w:ascii="宋体" w:hAnsi="宋体" w:cs="宋体"/>
      <w:color w:val="000000"/>
      <w:kern w:val="0"/>
      <w:sz w:val="18"/>
      <w:szCs w:val="18"/>
    </w:rPr>
  </w:style>
  <w:style w:type="paragraph" w:customStyle="1" w:styleId="548">
    <w:name w:val="xl312"/>
    <w:basedOn w:val="1"/>
    <w:qFormat/>
    <w:uiPriority w:val="0"/>
    <w:pPr>
      <w:widowControl/>
      <w:pBdr>
        <w:top w:val="single" w:color="auto"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49">
    <w:name w:val="Default"/>
    <w:qFormat/>
    <w:uiPriority w:val="0"/>
    <w:pPr>
      <w:widowControl w:val="0"/>
      <w:autoSpaceDE w:val="0"/>
      <w:autoSpaceDN w:val="0"/>
      <w:adjustRightInd w:val="0"/>
      <w:spacing w:line="240" w:lineRule="atLeast"/>
    </w:pPr>
    <w:rPr>
      <w:rFonts w:ascii="宋体" w:hAnsi="Times New Roman" w:eastAsia="宋体" w:cs="宋体"/>
      <w:color w:val="000000"/>
      <w:sz w:val="24"/>
      <w:szCs w:val="24"/>
      <w:lang w:val="en-US" w:eastAsia="zh-CN" w:bidi="ar-SA"/>
    </w:rPr>
  </w:style>
  <w:style w:type="paragraph" w:customStyle="1" w:styleId="550">
    <w:name w:val="xl182"/>
    <w:basedOn w:val="1"/>
    <w:qFormat/>
    <w:uiPriority w:val="0"/>
    <w:pPr>
      <w:widowControl/>
      <w:pBdr>
        <w:bottom w:val="single" w:color="000000"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51">
    <w:name w:val="xl78"/>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52">
    <w:name w:val="Char3"/>
    <w:basedOn w:val="1"/>
    <w:qFormat/>
    <w:uiPriority w:val="0"/>
    <w:pPr>
      <w:widowControl/>
      <w:spacing w:line="240" w:lineRule="atLeast"/>
      <w:jc w:val="left"/>
    </w:pPr>
    <w:rPr>
      <w:rFonts w:ascii="Tahoma" w:hAnsi="Tahoma"/>
      <w:sz w:val="24"/>
    </w:rPr>
  </w:style>
  <w:style w:type="paragraph" w:customStyle="1" w:styleId="553">
    <w:name w:val="xl299"/>
    <w:basedOn w:val="1"/>
    <w:qFormat/>
    <w:uiPriority w:val="0"/>
    <w:pPr>
      <w:widowControl/>
      <w:pBdr>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54">
    <w:name w:val="xl189"/>
    <w:basedOn w:val="1"/>
    <w:qFormat/>
    <w:uiPriority w:val="0"/>
    <w:pPr>
      <w:widowControl/>
      <w:pBdr>
        <w:top w:val="single" w:color="auto" w:sz="8" w:space="0"/>
        <w:bottom w:val="single" w:color="auto"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55">
    <w:name w:val="table_0020grid1"/>
    <w:basedOn w:val="1"/>
    <w:qFormat/>
    <w:uiPriority w:val="0"/>
    <w:pPr>
      <w:widowControl/>
      <w:spacing w:line="240" w:lineRule="atLeast"/>
      <w:jc w:val="left"/>
    </w:pPr>
    <w:rPr>
      <w:rFonts w:ascii="宋体" w:hAnsi="宋体" w:cs="宋体"/>
      <w:kern w:val="0"/>
      <w:sz w:val="24"/>
      <w:szCs w:val="24"/>
    </w:rPr>
  </w:style>
  <w:style w:type="paragraph" w:customStyle="1" w:styleId="556">
    <w:name w:val="xl179"/>
    <w:basedOn w:val="1"/>
    <w:qFormat/>
    <w:uiPriority w:val="0"/>
    <w:pPr>
      <w:widowControl/>
      <w:pBdr>
        <w:top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57">
    <w:name w:val="xl216"/>
    <w:basedOn w:val="1"/>
    <w:qFormat/>
    <w:uiPriority w:val="0"/>
    <w:pPr>
      <w:widowControl/>
      <w:pBdr>
        <w:left w:val="single" w:color="000000" w:sz="8" w:space="0"/>
        <w:bottom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58">
    <w:name w:val="xl160"/>
    <w:basedOn w:val="1"/>
    <w:qFormat/>
    <w:uiPriority w:val="0"/>
    <w:pPr>
      <w:widowControl/>
      <w:pBdr>
        <w:left w:val="single" w:color="000000" w:sz="8" w:space="0"/>
        <w:bottom w:val="single" w:color="auto" w:sz="8" w:space="0"/>
      </w:pBdr>
      <w:spacing w:before="100" w:beforeAutospacing="1" w:after="100" w:afterAutospacing="1" w:line="240" w:lineRule="atLeast"/>
      <w:jc w:val="left"/>
    </w:pPr>
    <w:rPr>
      <w:color w:val="000000"/>
      <w:kern w:val="0"/>
      <w:sz w:val="16"/>
      <w:szCs w:val="16"/>
    </w:rPr>
  </w:style>
  <w:style w:type="paragraph" w:customStyle="1" w:styleId="559">
    <w:name w:val="xl343"/>
    <w:basedOn w:val="1"/>
    <w:qFormat/>
    <w:uiPriority w:val="0"/>
    <w:pPr>
      <w:widowControl/>
      <w:pBdr>
        <w:top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560">
    <w:name w:val="Char Char Char Char Char Char1 Char1"/>
    <w:basedOn w:val="1"/>
    <w:qFormat/>
    <w:uiPriority w:val="0"/>
    <w:pPr>
      <w:widowControl/>
      <w:spacing w:line="360" w:lineRule="auto"/>
      <w:jc w:val="left"/>
    </w:pPr>
    <w:rPr>
      <w:rFonts w:eastAsia="仿宋_GB2312"/>
      <w:b/>
      <w:sz w:val="32"/>
      <w:szCs w:val="24"/>
    </w:rPr>
  </w:style>
  <w:style w:type="paragraph" w:customStyle="1" w:styleId="561">
    <w:name w:val="xl74"/>
    <w:basedOn w:val="1"/>
    <w:qFormat/>
    <w:uiPriority w:val="0"/>
    <w:pPr>
      <w:widowControl/>
      <w:pBdr>
        <w:top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62">
    <w:name w:val="Char Char Char Char Char Char Char Char Char1"/>
    <w:basedOn w:val="1"/>
    <w:qFormat/>
    <w:uiPriority w:val="0"/>
    <w:pPr>
      <w:widowControl/>
      <w:spacing w:line="360" w:lineRule="auto"/>
      <w:jc w:val="left"/>
    </w:pPr>
    <w:rPr>
      <w:rFonts w:eastAsia="仿宋_GB2312"/>
      <w:b/>
      <w:sz w:val="32"/>
      <w:szCs w:val="24"/>
    </w:rPr>
  </w:style>
  <w:style w:type="paragraph" w:customStyle="1" w:styleId="563">
    <w:name w:val="xl303"/>
    <w:basedOn w:val="1"/>
    <w:qFormat/>
    <w:uiPriority w:val="0"/>
    <w:pPr>
      <w:widowControl/>
      <w:pBdr>
        <w:top w:val="single" w:color="000000" w:sz="8" w:space="0"/>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64">
    <w:name w:val="Char Char Char Char Char Char Char Char Char Char Char Char Char Char Char Char Char Char Char Char Char Char Char Char Char Char Char Char Char Char1"/>
    <w:basedOn w:val="1"/>
    <w:qFormat/>
    <w:uiPriority w:val="0"/>
    <w:pPr>
      <w:widowControl/>
      <w:spacing w:line="360" w:lineRule="auto"/>
      <w:jc w:val="left"/>
    </w:pPr>
    <w:rPr>
      <w:rFonts w:eastAsia="仿宋_GB2312"/>
      <w:b/>
      <w:sz w:val="32"/>
      <w:szCs w:val="24"/>
    </w:rPr>
  </w:style>
  <w:style w:type="paragraph" w:customStyle="1" w:styleId="565">
    <w:name w:val="xl222"/>
    <w:basedOn w:val="1"/>
    <w:qFormat/>
    <w:uiPriority w:val="0"/>
    <w:pPr>
      <w:widowControl/>
      <w:pBdr>
        <w:bottom w:val="single" w:color="auto"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66">
    <w:name w:val="xl235"/>
    <w:basedOn w:val="1"/>
    <w:qFormat/>
    <w:uiPriority w:val="0"/>
    <w:pPr>
      <w:widowControl/>
      <w:pBdr>
        <w:top w:val="single" w:color="auto"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67">
    <w:name w:val="xl203"/>
    <w:basedOn w:val="1"/>
    <w:qFormat/>
    <w:uiPriority w:val="0"/>
    <w:pPr>
      <w:widowControl/>
      <w:pBdr>
        <w:top w:val="single" w:color="auto" w:sz="8" w:space="0"/>
        <w:bottom w:val="single" w:color="auto"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68">
    <w:name w:val="xl150"/>
    <w:basedOn w:val="1"/>
    <w:qFormat/>
    <w:uiPriority w:val="0"/>
    <w:pPr>
      <w:widowControl/>
      <w:pBdr>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69">
    <w:name w:val="xl215"/>
    <w:basedOn w:val="1"/>
    <w:qFormat/>
    <w:uiPriority w:val="0"/>
    <w:pPr>
      <w:widowControl/>
      <w:pBdr>
        <w:top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70">
    <w:name w:val="xl233"/>
    <w:basedOn w:val="1"/>
    <w:qFormat/>
    <w:uiPriority w:val="0"/>
    <w:pPr>
      <w:widowControl/>
      <w:pBdr>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71">
    <w:name w:val="xl138"/>
    <w:basedOn w:val="1"/>
    <w:qFormat/>
    <w:uiPriority w:val="0"/>
    <w:pPr>
      <w:widowControl/>
      <w:pBdr>
        <w:top w:val="single" w:color="auto" w:sz="8" w:space="0"/>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72">
    <w:name w:val="字元 字元11"/>
    <w:basedOn w:val="1"/>
    <w:qFormat/>
    <w:uiPriority w:val="0"/>
    <w:pPr>
      <w:widowControl/>
      <w:spacing w:line="240" w:lineRule="atLeast"/>
      <w:jc w:val="left"/>
    </w:pPr>
    <w:rPr>
      <w:szCs w:val="24"/>
    </w:rPr>
  </w:style>
  <w:style w:type="paragraph" w:customStyle="1" w:styleId="573">
    <w:name w:val="xl142"/>
    <w:basedOn w:val="1"/>
    <w:qFormat/>
    <w:uiPriority w:val="0"/>
    <w:pPr>
      <w:widowControl/>
      <w:pBdr>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74">
    <w:name w:val="xl298"/>
    <w:basedOn w:val="1"/>
    <w:qFormat/>
    <w:uiPriority w:val="0"/>
    <w:pPr>
      <w:widowControl/>
      <w:pBdr>
        <w:right w:val="single" w:color="auto"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575">
    <w:name w:val="xl80"/>
    <w:basedOn w:val="1"/>
    <w:qFormat/>
    <w:uiPriority w:val="0"/>
    <w:pPr>
      <w:widowControl/>
      <w:pBdr>
        <w:left w:val="single" w:color="auto" w:sz="8" w:space="0"/>
        <w:bottom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76">
    <w:name w:val="xl67"/>
    <w:basedOn w:val="1"/>
    <w:qFormat/>
    <w:uiPriority w:val="0"/>
    <w:pPr>
      <w:widowControl/>
      <w:pBdr>
        <w:top w:val="single" w:color="auto" w:sz="8" w:space="0"/>
        <w:left w:val="single" w:color="000000" w:sz="8" w:space="0"/>
        <w:bottom w:val="single" w:color="auto"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577">
    <w:name w:val="xl290"/>
    <w:basedOn w:val="1"/>
    <w:qFormat/>
    <w:uiPriority w:val="0"/>
    <w:pPr>
      <w:widowControl/>
      <w:pBdr>
        <w:left w:val="single" w:color="000000" w:sz="8" w:space="0"/>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78">
    <w:name w:val="xl169"/>
    <w:basedOn w:val="1"/>
    <w:qFormat/>
    <w:uiPriority w:val="0"/>
    <w:pPr>
      <w:widowControl/>
      <w:pBdr>
        <w:left w:val="single" w:color="000000" w:sz="8" w:space="0"/>
        <w:bottom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579">
    <w:name w:val="xl217"/>
    <w:basedOn w:val="1"/>
    <w:qFormat/>
    <w:uiPriority w:val="0"/>
    <w:pPr>
      <w:widowControl/>
      <w:pBdr>
        <w:bottom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80">
    <w:name w:val="xl98"/>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581">
    <w:name w:val="样式 标题 2 + 宋体 四号"/>
    <w:basedOn w:val="4"/>
    <w:qFormat/>
    <w:uiPriority w:val="0"/>
    <w:pPr>
      <w:widowControl/>
      <w:spacing w:before="260" w:after="260" w:line="415" w:lineRule="auto"/>
      <w:ind w:left="0" w:firstLine="0"/>
      <w:jc w:val="both"/>
    </w:pPr>
    <w:rPr>
      <w:rFonts w:ascii="宋体" w:hAnsi="宋体"/>
      <w:bCs/>
      <w:color w:val="0000FF"/>
      <w:sz w:val="28"/>
      <w:szCs w:val="28"/>
    </w:rPr>
  </w:style>
  <w:style w:type="paragraph" w:customStyle="1" w:styleId="582">
    <w:name w:val="xl306"/>
    <w:basedOn w:val="1"/>
    <w:qFormat/>
    <w:uiPriority w:val="0"/>
    <w:pPr>
      <w:widowControl/>
      <w:pBdr>
        <w:bottom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83">
    <w:name w:val="xl200"/>
    <w:basedOn w:val="1"/>
    <w:qFormat/>
    <w:uiPriority w:val="0"/>
    <w:pPr>
      <w:widowControl/>
      <w:pBdr>
        <w:top w:val="single" w:color="auto" w:sz="8" w:space="0"/>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84">
    <w:name w:val="xl227"/>
    <w:basedOn w:val="1"/>
    <w:qFormat/>
    <w:uiPriority w:val="0"/>
    <w:pPr>
      <w:widowControl/>
      <w:pBdr>
        <w:top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85">
    <w:name w:val="7 四级标题"/>
    <w:basedOn w:val="385"/>
    <w:qFormat/>
    <w:uiPriority w:val="0"/>
    <w:pPr>
      <w:numPr>
        <w:ilvl w:val="0"/>
        <w:numId w:val="2"/>
      </w:numPr>
      <w:spacing w:line="440" w:lineRule="exact"/>
      <w:ind w:firstLine="0" w:firstLineChars="0"/>
    </w:pPr>
    <w:rPr>
      <w:sz w:val="24"/>
      <w:szCs w:val="20"/>
    </w:rPr>
  </w:style>
  <w:style w:type="paragraph" w:customStyle="1" w:styleId="586">
    <w:name w:val="xl285"/>
    <w:basedOn w:val="1"/>
    <w:qFormat/>
    <w:uiPriority w:val="0"/>
    <w:pPr>
      <w:widowControl/>
      <w:pBdr>
        <w:right w:val="single" w:color="000000" w:sz="8" w:space="0"/>
      </w:pBdr>
      <w:spacing w:before="100" w:beforeAutospacing="1" w:after="100" w:afterAutospacing="1" w:line="240" w:lineRule="atLeast"/>
      <w:jc w:val="center"/>
      <w:textAlignment w:val="top"/>
    </w:pPr>
    <w:rPr>
      <w:color w:val="000000"/>
      <w:kern w:val="0"/>
      <w:sz w:val="16"/>
      <w:szCs w:val="16"/>
    </w:rPr>
  </w:style>
  <w:style w:type="paragraph" w:customStyle="1" w:styleId="587">
    <w:name w:val="xl330"/>
    <w:basedOn w:val="1"/>
    <w:qFormat/>
    <w:uiPriority w:val="0"/>
    <w:pPr>
      <w:widowControl/>
      <w:spacing w:before="100" w:beforeAutospacing="1" w:after="100" w:afterAutospacing="1" w:line="240" w:lineRule="atLeast"/>
      <w:jc w:val="left"/>
    </w:pPr>
    <w:rPr>
      <w:rFonts w:ascii="宋体" w:hAnsi="宋体" w:cs="宋体"/>
      <w:color w:val="000000"/>
      <w:kern w:val="0"/>
      <w:sz w:val="16"/>
      <w:szCs w:val="16"/>
    </w:rPr>
  </w:style>
  <w:style w:type="paragraph" w:customStyle="1" w:styleId="588">
    <w:name w:val="xl266"/>
    <w:basedOn w:val="1"/>
    <w:qFormat/>
    <w:uiPriority w:val="0"/>
    <w:pPr>
      <w:widowControl/>
      <w:pBdr>
        <w:top w:val="single" w:color="auto" w:sz="8" w:space="0"/>
        <w:lef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89">
    <w:name w:val="xl185"/>
    <w:basedOn w:val="1"/>
    <w:qFormat/>
    <w:uiPriority w:val="0"/>
    <w:pPr>
      <w:widowControl/>
      <w:pBdr>
        <w:left w:val="single" w:color="auto" w:sz="8" w:space="0"/>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90">
    <w:name w:val="font10"/>
    <w:basedOn w:val="1"/>
    <w:qFormat/>
    <w:uiPriority w:val="0"/>
    <w:pPr>
      <w:widowControl/>
      <w:spacing w:before="100" w:beforeAutospacing="1" w:after="100" w:afterAutospacing="1" w:line="240" w:lineRule="atLeast"/>
      <w:jc w:val="left"/>
    </w:pPr>
    <w:rPr>
      <w:rFonts w:hint="eastAsia" w:ascii="宋体" w:hAnsi="宋体" w:cs="Arial Unicode MS"/>
      <w:color w:val="000000"/>
      <w:kern w:val="0"/>
      <w:sz w:val="24"/>
      <w:szCs w:val="24"/>
    </w:rPr>
  </w:style>
  <w:style w:type="paragraph" w:customStyle="1" w:styleId="591">
    <w:name w:val="xl252"/>
    <w:basedOn w:val="1"/>
    <w:qFormat/>
    <w:uiPriority w:val="0"/>
    <w:pPr>
      <w:widowControl/>
      <w:pBdr>
        <w:left w:val="single" w:color="000000" w:sz="8" w:space="0"/>
        <w:bottom w:val="single" w:color="000000" w:sz="8" w:space="0"/>
        <w:right w:val="single" w:color="auto" w:sz="8" w:space="0"/>
      </w:pBdr>
      <w:spacing w:before="100" w:beforeAutospacing="1" w:after="100" w:afterAutospacing="1" w:line="240" w:lineRule="atLeast"/>
      <w:jc w:val="left"/>
    </w:pPr>
    <w:rPr>
      <w:color w:val="000000"/>
      <w:kern w:val="0"/>
      <w:sz w:val="16"/>
      <w:szCs w:val="16"/>
    </w:rPr>
  </w:style>
  <w:style w:type="paragraph" w:customStyle="1" w:styleId="592">
    <w:name w:val="xl204"/>
    <w:basedOn w:val="1"/>
    <w:qFormat/>
    <w:uiPriority w:val="0"/>
    <w:pPr>
      <w:widowControl/>
      <w:pBdr>
        <w:bottom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93">
    <w:name w:val="xl71"/>
    <w:basedOn w:val="1"/>
    <w:qFormat/>
    <w:uiPriority w:val="0"/>
    <w:pPr>
      <w:widowControl/>
      <w:pBdr>
        <w:top w:val="single" w:color="auto" w:sz="8" w:space="0"/>
        <w:left w:val="single" w:color="auto" w:sz="8" w:space="0"/>
        <w:righ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94">
    <w:name w:val="xl86"/>
    <w:basedOn w:val="1"/>
    <w:qFormat/>
    <w:uiPriority w:val="0"/>
    <w:pPr>
      <w:widowControl/>
      <w:pBdr>
        <w:lef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595">
    <w:name w:val="Char Char Char Char Char Char Char Char Char Char Char1"/>
    <w:basedOn w:val="1"/>
    <w:qFormat/>
    <w:uiPriority w:val="0"/>
    <w:pPr>
      <w:widowControl/>
      <w:spacing w:after="160" w:line="240" w:lineRule="exact"/>
      <w:jc w:val="left"/>
    </w:pPr>
    <w:rPr>
      <w:rFonts w:ascii="Arial" w:hAnsi="Arial" w:eastAsia="Times New Roman" w:cs="Verdana"/>
      <w:b/>
      <w:kern w:val="0"/>
      <w:sz w:val="24"/>
      <w:szCs w:val="24"/>
      <w:lang w:eastAsia="en-US"/>
    </w:rPr>
  </w:style>
  <w:style w:type="paragraph" w:customStyle="1" w:styleId="596">
    <w:name w:val="xl243"/>
    <w:basedOn w:val="1"/>
    <w:qFormat/>
    <w:uiPriority w:val="0"/>
    <w:pPr>
      <w:widowControl/>
      <w:pBdr>
        <w:left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597">
    <w:name w:val="xl114"/>
    <w:basedOn w:val="1"/>
    <w:qFormat/>
    <w:uiPriority w:val="0"/>
    <w:pPr>
      <w:widowControl/>
      <w:pBdr>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598">
    <w:name w:val="xl91"/>
    <w:basedOn w:val="1"/>
    <w:qFormat/>
    <w:uiPriority w:val="0"/>
    <w:pPr>
      <w:widowControl/>
      <w:pBdr>
        <w:left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599">
    <w:name w:val="xl186"/>
    <w:basedOn w:val="1"/>
    <w:qFormat/>
    <w:uiPriority w:val="0"/>
    <w:pPr>
      <w:widowControl/>
      <w:pBdr>
        <w:bottom w:val="single" w:color="auto"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00">
    <w:name w:val="xl251"/>
    <w:basedOn w:val="1"/>
    <w:qFormat/>
    <w:uiPriority w:val="0"/>
    <w:pPr>
      <w:widowControl/>
      <w:pBdr>
        <w:top w:val="single" w:color="000000" w:sz="8" w:space="0"/>
        <w:left w:val="single" w:color="000000" w:sz="8" w:space="0"/>
        <w:right w:val="single" w:color="auto" w:sz="8" w:space="0"/>
      </w:pBdr>
      <w:spacing w:before="100" w:beforeAutospacing="1" w:after="100" w:afterAutospacing="1" w:line="240" w:lineRule="atLeast"/>
      <w:jc w:val="left"/>
    </w:pPr>
    <w:rPr>
      <w:color w:val="000000"/>
      <w:kern w:val="0"/>
      <w:sz w:val="16"/>
      <w:szCs w:val="16"/>
    </w:rPr>
  </w:style>
  <w:style w:type="paragraph" w:customStyle="1" w:styleId="601">
    <w:name w:val="xl181"/>
    <w:basedOn w:val="1"/>
    <w:qFormat/>
    <w:uiPriority w:val="0"/>
    <w:pPr>
      <w:widowControl/>
      <w:pBdr>
        <w:bottom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02">
    <w:name w:val="样式 标题 1 + 四号 居中 段前: 12 磅 段后: 12 磅 行距: 单倍行距"/>
    <w:basedOn w:val="3"/>
    <w:qFormat/>
    <w:uiPriority w:val="0"/>
    <w:pPr>
      <w:widowControl/>
      <w:numPr>
        <w:ilvl w:val="0"/>
        <w:numId w:val="3"/>
      </w:numPr>
      <w:tabs>
        <w:tab w:val="left" w:pos="360"/>
      </w:tabs>
      <w:adjustRightInd w:val="0"/>
      <w:spacing w:before="240" w:after="240" w:line="240" w:lineRule="auto"/>
      <w:textAlignment w:val="baseline"/>
    </w:pPr>
    <w:rPr>
      <w:rFonts w:ascii="Times New Roman" w:hAnsi="Times New Roman" w:eastAsia="仿宋" w:cs="Century"/>
      <w:color w:val="auto"/>
      <w:szCs w:val="20"/>
    </w:rPr>
  </w:style>
  <w:style w:type="paragraph" w:customStyle="1" w:styleId="603">
    <w:name w:val="xl208"/>
    <w:basedOn w:val="1"/>
    <w:qFormat/>
    <w:uiPriority w:val="0"/>
    <w:pPr>
      <w:widowControl/>
      <w:pBdr>
        <w:left w:val="single" w:color="auto" w:sz="8" w:space="0"/>
        <w:bottom w:val="single" w:color="000000"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04">
    <w:name w:val="xl163"/>
    <w:basedOn w:val="1"/>
    <w:qFormat/>
    <w:uiPriority w:val="0"/>
    <w:pPr>
      <w:widowControl/>
      <w:spacing w:before="100" w:beforeAutospacing="1" w:after="100" w:afterAutospacing="1" w:line="240" w:lineRule="atLeast"/>
      <w:jc w:val="center"/>
    </w:pPr>
    <w:rPr>
      <w:rFonts w:ascii="宋体" w:hAnsi="宋体" w:cs="宋体"/>
      <w:color w:val="000000"/>
      <w:kern w:val="0"/>
      <w:sz w:val="16"/>
      <w:szCs w:val="16"/>
    </w:rPr>
  </w:style>
  <w:style w:type="paragraph" w:customStyle="1" w:styleId="605">
    <w:name w:val="xl111"/>
    <w:basedOn w:val="1"/>
    <w:qFormat/>
    <w:uiPriority w:val="0"/>
    <w:pPr>
      <w:widowControl/>
      <w:pBdr>
        <w:bottom w:val="single" w:color="auto" w:sz="8" w:space="0"/>
        <w:righ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06">
    <w:name w:val="xl344"/>
    <w:basedOn w:val="1"/>
    <w:qFormat/>
    <w:uiPriority w:val="0"/>
    <w:pPr>
      <w:widowControl/>
      <w:pBdr>
        <w:top w:val="single" w:color="auto" w:sz="8" w:space="0"/>
      </w:pBdr>
      <w:spacing w:before="100" w:beforeAutospacing="1" w:after="100" w:afterAutospacing="1" w:line="240" w:lineRule="atLeast"/>
      <w:jc w:val="center"/>
      <w:textAlignment w:val="top"/>
    </w:pPr>
    <w:rPr>
      <w:rFonts w:ascii="宋体" w:hAnsi="宋体" w:cs="宋体"/>
      <w:color w:val="000000"/>
      <w:kern w:val="0"/>
      <w:sz w:val="18"/>
      <w:szCs w:val="18"/>
    </w:rPr>
  </w:style>
  <w:style w:type="paragraph" w:customStyle="1" w:styleId="607">
    <w:name w:val="xl129"/>
    <w:basedOn w:val="1"/>
    <w:qFormat/>
    <w:uiPriority w:val="0"/>
    <w:pPr>
      <w:widowControl/>
      <w:pBdr>
        <w:left w:val="single" w:color="000000" w:sz="8" w:space="0"/>
      </w:pBdr>
      <w:spacing w:before="100" w:beforeAutospacing="1" w:after="100" w:afterAutospacing="1" w:line="240" w:lineRule="atLeast"/>
      <w:jc w:val="left"/>
    </w:pPr>
    <w:rPr>
      <w:color w:val="000000"/>
      <w:kern w:val="0"/>
      <w:sz w:val="16"/>
      <w:szCs w:val="16"/>
    </w:rPr>
  </w:style>
  <w:style w:type="paragraph" w:customStyle="1" w:styleId="608">
    <w:name w:val="xl195"/>
    <w:basedOn w:val="1"/>
    <w:qFormat/>
    <w:uiPriority w:val="0"/>
    <w:pPr>
      <w:widowControl/>
      <w:pBdr>
        <w:top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09">
    <w:name w:val="正文2"/>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610">
    <w:name w:val="xl274"/>
    <w:basedOn w:val="1"/>
    <w:qFormat/>
    <w:uiPriority w:val="0"/>
    <w:pPr>
      <w:widowControl/>
      <w:pBdr>
        <w:bottom w:val="single" w:color="auto" w:sz="8" w:space="0"/>
        <w:right w:val="single" w:color="000000" w:sz="8" w:space="0"/>
      </w:pBdr>
      <w:spacing w:before="100" w:beforeAutospacing="1" w:after="100" w:afterAutospacing="1" w:line="240" w:lineRule="atLeast"/>
      <w:jc w:val="left"/>
    </w:pPr>
    <w:rPr>
      <w:color w:val="000000"/>
      <w:kern w:val="0"/>
      <w:sz w:val="16"/>
      <w:szCs w:val="16"/>
    </w:rPr>
  </w:style>
  <w:style w:type="paragraph" w:customStyle="1" w:styleId="611">
    <w:name w:val="xl157"/>
    <w:basedOn w:val="1"/>
    <w:qFormat/>
    <w:uiPriority w:val="0"/>
    <w:pPr>
      <w:widowControl/>
      <w:pBdr>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12">
    <w:name w:val="8 五级标题"/>
    <w:basedOn w:val="1"/>
    <w:qFormat/>
    <w:uiPriority w:val="0"/>
    <w:pPr>
      <w:widowControl/>
      <w:numPr>
        <w:ilvl w:val="0"/>
        <w:numId w:val="4"/>
      </w:numPr>
      <w:spacing w:line="440" w:lineRule="exact"/>
      <w:ind w:left="1276" w:hanging="425"/>
      <w:jc w:val="left"/>
    </w:pPr>
    <w:rPr>
      <w:rFonts w:cs="宋体"/>
      <w:sz w:val="24"/>
    </w:rPr>
  </w:style>
  <w:style w:type="paragraph" w:customStyle="1" w:styleId="613">
    <w:name w:val="xl183"/>
    <w:basedOn w:val="1"/>
    <w:qFormat/>
    <w:uiPriority w:val="0"/>
    <w:pPr>
      <w:widowControl/>
      <w:pBdr>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14">
    <w:name w:val="Char1 Char Char Char1 Char Char Char1"/>
    <w:basedOn w:val="1"/>
    <w:qFormat/>
    <w:uiPriority w:val="0"/>
    <w:pPr>
      <w:widowControl/>
      <w:spacing w:line="360" w:lineRule="auto"/>
      <w:jc w:val="left"/>
    </w:pPr>
    <w:rPr>
      <w:rFonts w:eastAsia="仿宋_GB2312"/>
      <w:b/>
      <w:sz w:val="32"/>
      <w:szCs w:val="24"/>
    </w:rPr>
  </w:style>
  <w:style w:type="paragraph" w:customStyle="1" w:styleId="615">
    <w:name w:val="xl284"/>
    <w:basedOn w:val="1"/>
    <w:qFormat/>
    <w:uiPriority w:val="0"/>
    <w:pPr>
      <w:widowControl/>
      <w:spacing w:before="100" w:beforeAutospacing="1" w:after="100" w:afterAutospacing="1" w:line="240" w:lineRule="atLeast"/>
      <w:jc w:val="center"/>
      <w:textAlignment w:val="top"/>
    </w:pPr>
    <w:rPr>
      <w:color w:val="000000"/>
      <w:kern w:val="0"/>
      <w:sz w:val="16"/>
      <w:szCs w:val="16"/>
    </w:rPr>
  </w:style>
  <w:style w:type="paragraph" w:customStyle="1" w:styleId="616">
    <w:name w:val="xl173"/>
    <w:basedOn w:val="1"/>
    <w:qFormat/>
    <w:uiPriority w:val="0"/>
    <w:pPr>
      <w:widowControl/>
      <w:pBdr>
        <w:top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17">
    <w:name w:val="xl143"/>
    <w:basedOn w:val="1"/>
    <w:qFormat/>
    <w:uiPriority w:val="0"/>
    <w:pPr>
      <w:widowControl/>
      <w:pBdr>
        <w:bottom w:val="single" w:color="auto"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18">
    <w:name w:val="xl248"/>
    <w:basedOn w:val="1"/>
    <w:qFormat/>
    <w:uiPriority w:val="0"/>
    <w:pPr>
      <w:widowControl/>
      <w:pBdr>
        <w:top w:val="single" w:color="000000" w:sz="8" w:space="0"/>
        <w:left w:val="single" w:color="000000"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19">
    <w:name w:val="xl332"/>
    <w:basedOn w:val="1"/>
    <w:qFormat/>
    <w:uiPriority w:val="0"/>
    <w:pPr>
      <w:widowControl/>
      <w:pBdr>
        <w:left w:val="single" w:color="000000" w:sz="8" w:space="0"/>
        <w:bottom w:val="single" w:color="000000" w:sz="8" w:space="0"/>
        <w:right w:val="single" w:color="000000" w:sz="8" w:space="0"/>
      </w:pBdr>
      <w:spacing w:before="100" w:beforeAutospacing="1" w:after="100" w:afterAutospacing="1" w:line="240" w:lineRule="atLeast"/>
      <w:jc w:val="left"/>
      <w:textAlignment w:val="top"/>
    </w:pPr>
    <w:rPr>
      <w:kern w:val="0"/>
      <w:sz w:val="20"/>
    </w:rPr>
  </w:style>
  <w:style w:type="paragraph" w:customStyle="1" w:styleId="620">
    <w:name w:val="xl64"/>
    <w:basedOn w:val="1"/>
    <w:qFormat/>
    <w:uiPriority w:val="0"/>
    <w:pPr>
      <w:widowControl/>
      <w:spacing w:before="100" w:beforeAutospacing="1" w:after="100" w:afterAutospacing="1" w:line="240" w:lineRule="atLeast"/>
      <w:jc w:val="left"/>
    </w:pPr>
    <w:rPr>
      <w:rFonts w:ascii="宋体" w:hAnsi="宋体" w:cs="宋体"/>
      <w:kern w:val="0"/>
      <w:sz w:val="18"/>
      <w:szCs w:val="18"/>
    </w:rPr>
  </w:style>
  <w:style w:type="paragraph" w:customStyle="1" w:styleId="621">
    <w:name w:val="xl224"/>
    <w:basedOn w:val="1"/>
    <w:qFormat/>
    <w:uiPriority w:val="0"/>
    <w:pPr>
      <w:widowControl/>
      <w:pBdr>
        <w:left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22">
    <w:name w:val="xl338"/>
    <w:basedOn w:val="1"/>
    <w:qFormat/>
    <w:uiPriority w:val="0"/>
    <w:pPr>
      <w:widowControl/>
      <w:pBdr>
        <w:left w:val="single" w:color="auto" w:sz="8" w:space="0"/>
        <w:bottom w:val="single" w:color="auto" w:sz="8" w:space="0"/>
      </w:pBdr>
      <w:spacing w:before="100" w:beforeAutospacing="1" w:after="100" w:afterAutospacing="1" w:line="240" w:lineRule="atLeast"/>
      <w:jc w:val="left"/>
      <w:textAlignment w:val="top"/>
    </w:pPr>
    <w:rPr>
      <w:kern w:val="0"/>
      <w:sz w:val="20"/>
    </w:rPr>
  </w:style>
  <w:style w:type="paragraph" w:customStyle="1" w:styleId="623">
    <w:name w:val="xl287"/>
    <w:basedOn w:val="1"/>
    <w:qFormat/>
    <w:uiPriority w:val="0"/>
    <w:pPr>
      <w:widowControl/>
      <w:pBdr>
        <w:bottom w:val="single" w:color="auto" w:sz="8" w:space="0"/>
      </w:pBdr>
      <w:spacing w:before="100" w:beforeAutospacing="1" w:after="100" w:afterAutospacing="1" w:line="240" w:lineRule="atLeast"/>
      <w:jc w:val="center"/>
      <w:textAlignment w:val="top"/>
    </w:pPr>
    <w:rPr>
      <w:color w:val="000000"/>
      <w:kern w:val="0"/>
      <w:sz w:val="16"/>
      <w:szCs w:val="16"/>
    </w:rPr>
  </w:style>
  <w:style w:type="paragraph" w:customStyle="1" w:styleId="624">
    <w:name w:val="xl89"/>
    <w:basedOn w:val="1"/>
    <w:qFormat/>
    <w:uiPriority w:val="0"/>
    <w:pPr>
      <w:widowControl/>
      <w:pBdr>
        <w:left w:val="single" w:color="auto" w:sz="8" w:space="0"/>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25">
    <w:name w:val="xl70"/>
    <w:basedOn w:val="1"/>
    <w:qFormat/>
    <w:uiPriority w:val="0"/>
    <w:pPr>
      <w:widowControl/>
      <w:spacing w:before="100" w:beforeAutospacing="1" w:after="100" w:afterAutospacing="1" w:line="240" w:lineRule="atLeast"/>
      <w:jc w:val="left"/>
    </w:pPr>
    <w:rPr>
      <w:rFonts w:ascii="宋体" w:hAnsi="宋体" w:cs="宋体"/>
      <w:kern w:val="0"/>
      <w:sz w:val="16"/>
      <w:szCs w:val="16"/>
    </w:rPr>
  </w:style>
  <w:style w:type="paragraph" w:customStyle="1" w:styleId="626">
    <w:name w:val="xl269"/>
    <w:basedOn w:val="1"/>
    <w:qFormat/>
    <w:uiPriority w:val="0"/>
    <w:pPr>
      <w:widowControl/>
      <w:pBdr>
        <w:left w:val="single" w:color="auto" w:sz="8" w:space="0"/>
        <w:bottom w:val="single" w:color="auto" w:sz="8" w:space="0"/>
        <w:righ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27">
    <w:name w:val="xl254"/>
    <w:basedOn w:val="1"/>
    <w:qFormat/>
    <w:uiPriority w:val="0"/>
    <w:pPr>
      <w:widowControl/>
      <w:pBdr>
        <w:top w:val="single" w:color="000000" w:sz="8" w:space="0"/>
        <w:righ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28">
    <w:name w:val="xl159"/>
    <w:basedOn w:val="1"/>
    <w:qFormat/>
    <w:uiPriority w:val="0"/>
    <w:pPr>
      <w:widowControl/>
      <w:pBdr>
        <w:top w:val="single" w:color="auto" w:sz="8" w:space="0"/>
        <w:left w:val="single" w:color="000000" w:sz="8" w:space="0"/>
      </w:pBdr>
      <w:spacing w:before="100" w:beforeAutospacing="1" w:after="100" w:afterAutospacing="1" w:line="240" w:lineRule="atLeast"/>
      <w:jc w:val="left"/>
    </w:pPr>
    <w:rPr>
      <w:color w:val="000000"/>
      <w:kern w:val="0"/>
      <w:sz w:val="16"/>
      <w:szCs w:val="16"/>
    </w:rPr>
  </w:style>
  <w:style w:type="paragraph" w:customStyle="1" w:styleId="629">
    <w:name w:val="Char Char Char Char11"/>
    <w:basedOn w:val="1"/>
    <w:qFormat/>
    <w:uiPriority w:val="0"/>
    <w:pPr>
      <w:widowControl/>
      <w:spacing w:line="360" w:lineRule="auto"/>
      <w:jc w:val="left"/>
    </w:pPr>
    <w:rPr>
      <w:rFonts w:ascii="宋体" w:hAnsi="宋体"/>
      <w:sz w:val="24"/>
      <w:szCs w:val="24"/>
    </w:rPr>
  </w:style>
  <w:style w:type="paragraph" w:customStyle="1" w:styleId="630">
    <w:name w:val="xl202"/>
    <w:basedOn w:val="1"/>
    <w:qFormat/>
    <w:uiPriority w:val="0"/>
    <w:pPr>
      <w:widowControl/>
      <w:pBdr>
        <w:top w:val="single" w:color="auto"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31">
    <w:name w:val="xl84"/>
    <w:basedOn w:val="1"/>
    <w:qFormat/>
    <w:uiPriority w:val="0"/>
    <w:pPr>
      <w:widowControl/>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32">
    <w:name w:val="xl149"/>
    <w:basedOn w:val="1"/>
    <w:qFormat/>
    <w:uiPriority w:val="0"/>
    <w:pPr>
      <w:widowControl/>
      <w:pBdr>
        <w:bottom w:val="single" w:color="auto" w:sz="8" w:space="0"/>
        <w:right w:val="single" w:color="000000" w:sz="8" w:space="0"/>
      </w:pBdr>
      <w:spacing w:before="100" w:beforeAutospacing="1" w:after="100" w:afterAutospacing="1" w:line="240" w:lineRule="atLeast"/>
      <w:jc w:val="left"/>
      <w:textAlignment w:val="top"/>
    </w:pPr>
    <w:rPr>
      <w:color w:val="000000"/>
      <w:kern w:val="0"/>
      <w:sz w:val="16"/>
      <w:szCs w:val="16"/>
    </w:rPr>
  </w:style>
  <w:style w:type="paragraph" w:customStyle="1" w:styleId="633">
    <w:name w:val="xl352"/>
    <w:basedOn w:val="1"/>
    <w:qFormat/>
    <w:uiPriority w:val="0"/>
    <w:pPr>
      <w:widowControl/>
      <w:pBdr>
        <w:top w:val="single" w:color="000000" w:sz="8" w:space="0"/>
      </w:pBdr>
      <w:spacing w:before="100" w:beforeAutospacing="1" w:after="100" w:afterAutospacing="1" w:line="240" w:lineRule="atLeast"/>
      <w:jc w:val="left"/>
      <w:textAlignment w:val="top"/>
    </w:pPr>
    <w:rPr>
      <w:rFonts w:ascii="宋体" w:hAnsi="宋体" w:cs="宋体"/>
      <w:color w:val="000000"/>
      <w:kern w:val="0"/>
      <w:sz w:val="20"/>
    </w:rPr>
  </w:style>
  <w:style w:type="paragraph" w:customStyle="1" w:styleId="634">
    <w:name w:val="xl333"/>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635">
    <w:name w:val="xl308"/>
    <w:basedOn w:val="1"/>
    <w:qFormat/>
    <w:uiPriority w:val="0"/>
    <w:pPr>
      <w:widowControl/>
      <w:pBdr>
        <w:top w:val="single" w:color="auto" w:sz="8" w:space="0"/>
        <w:left w:val="single" w:color="000000" w:sz="8" w:space="0"/>
        <w:bottom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36">
    <w:name w:val="xl96"/>
    <w:basedOn w:val="1"/>
    <w:qFormat/>
    <w:uiPriority w:val="0"/>
    <w:pPr>
      <w:widowControl/>
      <w:pBdr>
        <w:top w:val="single" w:color="auto"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637">
    <w:name w:val="xl239"/>
    <w:basedOn w:val="1"/>
    <w:qFormat/>
    <w:uiPriority w:val="0"/>
    <w:pPr>
      <w:widowControl/>
      <w:pBdr>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38">
    <w:name w:val="xl304"/>
    <w:basedOn w:val="1"/>
    <w:qFormat/>
    <w:uiPriority w:val="0"/>
    <w:pPr>
      <w:widowControl/>
      <w:pBdr>
        <w:left w:val="single" w:color="000000"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39">
    <w:name w:val="xl100"/>
    <w:basedOn w:val="1"/>
    <w:qFormat/>
    <w:uiPriority w:val="0"/>
    <w:pPr>
      <w:widowControl/>
      <w:pBdr>
        <w:left w:val="single" w:color="auto"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40">
    <w:name w:val="xl292"/>
    <w:basedOn w:val="1"/>
    <w:qFormat/>
    <w:uiPriority w:val="0"/>
    <w:pPr>
      <w:widowControl/>
      <w:pBdr>
        <w:top w:val="single" w:color="auto"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641">
    <w:name w:val="编号1"/>
    <w:qFormat/>
    <w:uiPriority w:val="0"/>
    <w:pPr>
      <w:keepLines/>
      <w:overflowPunct w:val="0"/>
      <w:autoSpaceDE w:val="0"/>
      <w:autoSpaceDN w:val="0"/>
      <w:snapToGrid w:val="0"/>
      <w:spacing w:beforeLines="70" w:afterLines="70" w:line="360" w:lineRule="exact"/>
      <w:jc w:val="both"/>
    </w:pPr>
    <w:rPr>
      <w:rFonts w:ascii="Times New Roman" w:hAnsi="Times New Roman" w:eastAsia="宋体" w:cs="Times New Roman"/>
      <w:snapToGrid w:val="0"/>
      <w:spacing w:val="30"/>
      <w:sz w:val="24"/>
      <w:szCs w:val="24"/>
      <w:lang w:val="en-GB" w:eastAsia="zh-CN" w:bidi="ar-SA"/>
    </w:rPr>
  </w:style>
  <w:style w:type="paragraph" w:customStyle="1" w:styleId="642">
    <w:name w:val="xl320"/>
    <w:basedOn w:val="1"/>
    <w:qFormat/>
    <w:uiPriority w:val="0"/>
    <w:pPr>
      <w:widowControl/>
      <w:pBdr>
        <w:top w:val="single" w:color="auto" w:sz="8" w:space="0"/>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43">
    <w:name w:val="xl65"/>
    <w:basedOn w:val="1"/>
    <w:qFormat/>
    <w:uiPriority w:val="0"/>
    <w:pPr>
      <w:widowControl/>
      <w:pBdr>
        <w:top w:val="single" w:color="auto" w:sz="8" w:space="0"/>
        <w:left w:val="single" w:color="auto" w:sz="8" w:space="0"/>
        <w:bottom w:val="single" w:color="auto" w:sz="8" w:space="0"/>
        <w:right w:val="single" w:color="auto"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644">
    <w:name w:val="xl199"/>
    <w:basedOn w:val="1"/>
    <w:qFormat/>
    <w:uiPriority w:val="0"/>
    <w:pPr>
      <w:widowControl/>
      <w:pBdr>
        <w:bottom w:val="single" w:color="000000"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45">
    <w:name w:val="xl268"/>
    <w:basedOn w:val="1"/>
    <w:qFormat/>
    <w:uiPriority w:val="0"/>
    <w:pPr>
      <w:widowControl/>
      <w:pBdr>
        <w:left w:val="single" w:color="000000" w:sz="8" w:space="0"/>
        <w:bottom w:val="single" w:color="000000" w:sz="8" w:space="0"/>
        <w:righ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46">
    <w:name w:val="xl73"/>
    <w:basedOn w:val="1"/>
    <w:qFormat/>
    <w:uiPriority w:val="0"/>
    <w:pPr>
      <w:widowControl/>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47">
    <w:name w:val="xl293"/>
    <w:basedOn w:val="1"/>
    <w:qFormat/>
    <w:uiPriority w:val="0"/>
    <w:pPr>
      <w:widowControl/>
      <w:pBdr>
        <w:left w:val="single" w:color="000000"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648">
    <w:name w:val="xl63"/>
    <w:basedOn w:val="1"/>
    <w:qFormat/>
    <w:uiPriority w:val="0"/>
    <w:pPr>
      <w:widowControl/>
      <w:spacing w:before="100" w:beforeAutospacing="1" w:after="100" w:afterAutospacing="1" w:line="240" w:lineRule="atLeast"/>
      <w:jc w:val="left"/>
      <w:textAlignment w:val="top"/>
    </w:pPr>
    <w:rPr>
      <w:rFonts w:ascii="宋体" w:hAnsi="宋体" w:cs="宋体"/>
      <w:kern w:val="0"/>
      <w:sz w:val="18"/>
      <w:szCs w:val="18"/>
    </w:rPr>
  </w:style>
  <w:style w:type="paragraph" w:customStyle="1" w:styleId="649">
    <w:name w:val="题1.1"/>
    <w:basedOn w:val="1"/>
    <w:qFormat/>
    <w:uiPriority w:val="0"/>
    <w:pPr>
      <w:widowControl/>
      <w:adjustRightInd w:val="0"/>
      <w:spacing w:after="60" w:line="240" w:lineRule="atLeast"/>
      <w:ind w:left="454" w:firstLine="454"/>
      <w:jc w:val="left"/>
      <w:textAlignment w:val="baseline"/>
    </w:pPr>
    <w:rPr>
      <w:rFonts w:ascii="楷体_GB2312" w:eastAsia="楷体_GB2312"/>
      <w:spacing w:val="15"/>
      <w:kern w:val="0"/>
    </w:rPr>
  </w:style>
  <w:style w:type="paragraph" w:customStyle="1" w:styleId="650">
    <w:name w:val="xl76"/>
    <w:basedOn w:val="1"/>
    <w:qFormat/>
    <w:uiPriority w:val="0"/>
    <w:pPr>
      <w:widowControl/>
      <w:pBdr>
        <w:left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51">
    <w:name w:val="xl125"/>
    <w:basedOn w:val="1"/>
    <w:qFormat/>
    <w:uiPriority w:val="0"/>
    <w:pPr>
      <w:widowControl/>
      <w:pBdr>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52">
    <w:name w:val="xl311"/>
    <w:basedOn w:val="1"/>
    <w:qFormat/>
    <w:uiPriority w:val="0"/>
    <w:pPr>
      <w:widowControl/>
      <w:pBdr>
        <w:top w:val="single" w:color="auto" w:sz="8" w:space="0"/>
        <w:left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53">
    <w:name w:val="xl291"/>
    <w:basedOn w:val="1"/>
    <w:qFormat/>
    <w:uiPriority w:val="0"/>
    <w:pPr>
      <w:widowControl/>
      <w:pBdr>
        <w:top w:val="single" w:color="auto" w:sz="8" w:space="0"/>
        <w:left w:val="single" w:color="000000" w:sz="8" w:space="0"/>
      </w:pBdr>
      <w:spacing w:before="100" w:beforeAutospacing="1" w:after="100" w:afterAutospacing="1" w:line="240" w:lineRule="atLeast"/>
      <w:jc w:val="left"/>
      <w:textAlignment w:val="top"/>
    </w:pPr>
    <w:rPr>
      <w:rFonts w:ascii="宋体" w:hAnsi="宋体" w:cs="宋体"/>
      <w:kern w:val="0"/>
      <w:sz w:val="16"/>
      <w:szCs w:val="16"/>
    </w:rPr>
  </w:style>
  <w:style w:type="paragraph" w:customStyle="1" w:styleId="654">
    <w:name w:val="xl265"/>
    <w:basedOn w:val="1"/>
    <w:qFormat/>
    <w:uiPriority w:val="0"/>
    <w:pPr>
      <w:widowControl/>
      <w:pBdr>
        <w:bottom w:val="single" w:color="000000" w:sz="8" w:space="0"/>
        <w:right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655">
    <w:name w:val="xl165"/>
    <w:basedOn w:val="1"/>
    <w:qFormat/>
    <w:uiPriority w:val="0"/>
    <w:pPr>
      <w:widowControl/>
      <w:pBdr>
        <w:top w:val="single" w:color="auto" w:sz="8" w:space="0"/>
        <w:lef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656">
    <w:name w:val="xl178"/>
    <w:basedOn w:val="1"/>
    <w:qFormat/>
    <w:uiPriority w:val="0"/>
    <w:pPr>
      <w:widowControl/>
      <w:pBdr>
        <w:bottom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57">
    <w:name w:val="xl135"/>
    <w:basedOn w:val="1"/>
    <w:qFormat/>
    <w:uiPriority w:val="0"/>
    <w:pPr>
      <w:widowControl/>
      <w:pBdr>
        <w:right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658">
    <w:name w:val="xl87"/>
    <w:basedOn w:val="1"/>
    <w:qFormat/>
    <w:uiPriority w:val="0"/>
    <w:pPr>
      <w:widowControl/>
      <w:pBdr>
        <w:lef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59">
    <w:name w:val="xl258"/>
    <w:basedOn w:val="1"/>
    <w:qFormat/>
    <w:uiPriority w:val="0"/>
    <w:pPr>
      <w:widowControl/>
      <w:pBdr>
        <w:top w:val="single" w:color="000000" w:sz="8" w:space="0"/>
      </w:pBdr>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660">
    <w:name w:val="Char4"/>
    <w:basedOn w:val="1"/>
    <w:qFormat/>
    <w:uiPriority w:val="0"/>
    <w:pPr>
      <w:widowControl/>
      <w:spacing w:line="360" w:lineRule="auto"/>
      <w:ind w:left="181" w:leftChars="86" w:right="210" w:rightChars="100" w:firstLine="422" w:firstLineChars="200"/>
      <w:jc w:val="left"/>
    </w:pPr>
    <w:rPr>
      <w:rFonts w:ascii="宋体" w:hAnsi="宋体"/>
      <w:b/>
      <w:szCs w:val="21"/>
    </w:rPr>
  </w:style>
  <w:style w:type="paragraph" w:customStyle="1" w:styleId="661">
    <w:name w:val="Char Char Char Char2"/>
    <w:basedOn w:val="1"/>
    <w:qFormat/>
    <w:uiPriority w:val="0"/>
    <w:pPr>
      <w:widowControl/>
      <w:spacing w:line="360" w:lineRule="auto"/>
      <w:jc w:val="left"/>
    </w:pPr>
    <w:rPr>
      <w:rFonts w:eastAsia="仿宋_GB2312"/>
      <w:b/>
      <w:sz w:val="32"/>
      <w:szCs w:val="24"/>
    </w:rPr>
  </w:style>
  <w:style w:type="paragraph" w:customStyle="1" w:styleId="662">
    <w:name w:val="xl337"/>
    <w:basedOn w:val="1"/>
    <w:qFormat/>
    <w:uiPriority w:val="0"/>
    <w:pPr>
      <w:widowControl/>
      <w:pBdr>
        <w:left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8"/>
      <w:szCs w:val="18"/>
    </w:rPr>
  </w:style>
  <w:style w:type="paragraph" w:customStyle="1" w:styleId="663">
    <w:name w:val="xl353"/>
    <w:basedOn w:val="1"/>
    <w:qFormat/>
    <w:uiPriority w:val="0"/>
    <w:pPr>
      <w:widowControl/>
      <w:pBdr>
        <w:top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20"/>
    </w:rPr>
  </w:style>
  <w:style w:type="paragraph" w:customStyle="1" w:styleId="664">
    <w:name w:val="xl255"/>
    <w:basedOn w:val="1"/>
    <w:qFormat/>
    <w:uiPriority w:val="0"/>
    <w:pPr>
      <w:widowControl/>
      <w:pBdr>
        <w:top w:val="single" w:color="000000" w:sz="8" w:space="0"/>
        <w:left w:val="single" w:color="auto"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665">
    <w:name w:val="xl326"/>
    <w:basedOn w:val="1"/>
    <w:qFormat/>
    <w:uiPriority w:val="0"/>
    <w:pPr>
      <w:widowControl/>
      <w:pBdr>
        <w:left w:val="single" w:color="000000" w:sz="8" w:space="0"/>
        <w:bottom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666">
    <w:name w:val="Char Char Char Char Char Char1"/>
    <w:basedOn w:val="1"/>
    <w:qFormat/>
    <w:uiPriority w:val="0"/>
    <w:pPr>
      <w:widowControl/>
      <w:spacing w:line="360" w:lineRule="auto"/>
      <w:jc w:val="left"/>
    </w:pPr>
    <w:rPr>
      <w:rFonts w:eastAsia="仿宋_GB2312"/>
      <w:b/>
      <w:sz w:val="32"/>
      <w:szCs w:val="24"/>
    </w:rPr>
  </w:style>
  <w:style w:type="paragraph" w:customStyle="1" w:styleId="667">
    <w:name w:val="xl271"/>
    <w:basedOn w:val="1"/>
    <w:qFormat/>
    <w:uiPriority w:val="0"/>
    <w:pPr>
      <w:widowControl/>
      <w:pBdr>
        <w:top w:val="single" w:color="auto" w:sz="8" w:space="0"/>
      </w:pBdr>
      <w:spacing w:before="100" w:beforeAutospacing="1" w:after="100" w:afterAutospacing="1" w:line="240" w:lineRule="atLeast"/>
      <w:jc w:val="left"/>
    </w:pPr>
    <w:rPr>
      <w:color w:val="000000"/>
      <w:kern w:val="0"/>
      <w:sz w:val="16"/>
      <w:szCs w:val="16"/>
    </w:rPr>
  </w:style>
  <w:style w:type="paragraph" w:customStyle="1" w:styleId="668">
    <w:name w:val="正文 + 宋体"/>
    <w:basedOn w:val="1"/>
    <w:link w:val="669"/>
    <w:qFormat/>
    <w:uiPriority w:val="0"/>
    <w:pPr>
      <w:widowControl/>
      <w:spacing w:line="360" w:lineRule="auto"/>
      <w:ind w:left="480"/>
      <w:jc w:val="left"/>
    </w:pPr>
    <w:rPr>
      <w:rFonts w:ascii="宋体" w:hAnsi="宋体"/>
      <w:sz w:val="24"/>
      <w:szCs w:val="24"/>
    </w:rPr>
  </w:style>
  <w:style w:type="character" w:customStyle="1" w:styleId="669">
    <w:name w:val="正文 + 宋体 Char"/>
    <w:link w:val="668"/>
    <w:qFormat/>
    <w:uiPriority w:val="0"/>
    <w:rPr>
      <w:rFonts w:ascii="宋体" w:hAnsi="宋体"/>
      <w:kern w:val="2"/>
      <w:sz w:val="24"/>
      <w:szCs w:val="24"/>
    </w:rPr>
  </w:style>
  <w:style w:type="paragraph" w:customStyle="1" w:styleId="670">
    <w:name w:val="xl339"/>
    <w:basedOn w:val="1"/>
    <w:qFormat/>
    <w:uiPriority w:val="0"/>
    <w:pPr>
      <w:widowControl/>
      <w:spacing w:before="100" w:beforeAutospacing="1" w:after="100" w:afterAutospacing="1" w:line="240" w:lineRule="atLeast"/>
      <w:jc w:val="left"/>
      <w:textAlignment w:val="top"/>
    </w:pPr>
    <w:rPr>
      <w:color w:val="000000"/>
      <w:kern w:val="0"/>
      <w:sz w:val="18"/>
      <w:szCs w:val="18"/>
    </w:rPr>
  </w:style>
  <w:style w:type="paragraph" w:customStyle="1" w:styleId="671">
    <w:name w:val="xl148"/>
    <w:basedOn w:val="1"/>
    <w:qFormat/>
    <w:uiPriority w:val="0"/>
    <w:pPr>
      <w:widowControl/>
      <w:pBdr>
        <w:bottom w:val="single" w:color="auto" w:sz="8" w:space="0"/>
      </w:pBdr>
      <w:spacing w:before="100" w:beforeAutospacing="1" w:after="100" w:afterAutospacing="1" w:line="240" w:lineRule="atLeast"/>
      <w:jc w:val="left"/>
      <w:textAlignment w:val="top"/>
    </w:pPr>
    <w:rPr>
      <w:color w:val="000000"/>
      <w:kern w:val="0"/>
      <w:sz w:val="16"/>
      <w:szCs w:val="16"/>
    </w:rPr>
  </w:style>
  <w:style w:type="paragraph" w:customStyle="1" w:styleId="672">
    <w:name w:val="xl109"/>
    <w:basedOn w:val="1"/>
    <w:qFormat/>
    <w:uiPriority w:val="0"/>
    <w:pPr>
      <w:widowControl/>
      <w:pBdr>
        <w:left w:val="single" w:color="000000" w:sz="8" w:space="0"/>
        <w:bottom w:val="single" w:color="000000" w:sz="8" w:space="0"/>
        <w:righ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673">
    <w:name w:val="xl297"/>
    <w:basedOn w:val="1"/>
    <w:qFormat/>
    <w:uiPriority w:val="0"/>
    <w:pPr>
      <w:widowControl/>
      <w:spacing w:before="100" w:beforeAutospacing="1" w:after="100" w:afterAutospacing="1" w:line="240" w:lineRule="atLeast"/>
      <w:jc w:val="left"/>
      <w:textAlignment w:val="top"/>
    </w:pPr>
    <w:rPr>
      <w:rFonts w:ascii="宋体" w:hAnsi="宋体" w:cs="宋体"/>
      <w:kern w:val="0"/>
      <w:sz w:val="16"/>
      <w:szCs w:val="16"/>
    </w:rPr>
  </w:style>
  <w:style w:type="paragraph" w:customStyle="1" w:styleId="674">
    <w:name w:val="xl102"/>
    <w:basedOn w:val="1"/>
    <w:qFormat/>
    <w:uiPriority w:val="0"/>
    <w:pPr>
      <w:widowControl/>
      <w:pBdr>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75">
    <w:name w:val="xl288"/>
    <w:basedOn w:val="1"/>
    <w:qFormat/>
    <w:uiPriority w:val="0"/>
    <w:pPr>
      <w:widowControl/>
      <w:pBdr>
        <w:bottom w:val="single" w:color="auto" w:sz="8" w:space="0"/>
        <w:right w:val="single" w:color="000000" w:sz="8" w:space="0"/>
      </w:pBdr>
      <w:spacing w:before="100" w:beforeAutospacing="1" w:after="100" w:afterAutospacing="1" w:line="240" w:lineRule="atLeast"/>
      <w:jc w:val="center"/>
      <w:textAlignment w:val="top"/>
    </w:pPr>
    <w:rPr>
      <w:color w:val="000000"/>
      <w:kern w:val="0"/>
      <w:sz w:val="16"/>
      <w:szCs w:val="16"/>
    </w:rPr>
  </w:style>
  <w:style w:type="paragraph" w:customStyle="1" w:styleId="676">
    <w:name w:val="xl174"/>
    <w:basedOn w:val="1"/>
    <w:qFormat/>
    <w:uiPriority w:val="0"/>
    <w:pPr>
      <w:widowControl/>
      <w:pBdr>
        <w:top w:val="single" w:color="000000" w:sz="8" w:space="0"/>
        <w:right w:val="single" w:color="000000"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77">
    <w:name w:val="Char1 Char Char Char Char Char Char"/>
    <w:basedOn w:val="1"/>
    <w:qFormat/>
    <w:uiPriority w:val="0"/>
    <w:pPr>
      <w:widowControl/>
      <w:tabs>
        <w:tab w:val="left" w:pos="360"/>
      </w:tabs>
      <w:spacing w:line="240" w:lineRule="atLeast"/>
      <w:ind w:left="360" w:hanging="360"/>
      <w:jc w:val="left"/>
    </w:pPr>
    <w:rPr>
      <w:szCs w:val="24"/>
    </w:rPr>
  </w:style>
  <w:style w:type="paragraph" w:customStyle="1" w:styleId="678">
    <w:name w:val="xl191"/>
    <w:basedOn w:val="1"/>
    <w:qFormat/>
    <w:uiPriority w:val="0"/>
    <w:pPr>
      <w:widowControl/>
      <w:pBdr>
        <w:top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79">
    <w:name w:val="Char31"/>
    <w:basedOn w:val="1"/>
    <w:qFormat/>
    <w:uiPriority w:val="0"/>
    <w:pPr>
      <w:widowControl/>
      <w:spacing w:line="360" w:lineRule="auto"/>
      <w:jc w:val="left"/>
    </w:pPr>
    <w:rPr>
      <w:rFonts w:eastAsia="仿宋_GB2312"/>
      <w:b/>
      <w:sz w:val="32"/>
      <w:szCs w:val="24"/>
    </w:rPr>
  </w:style>
  <w:style w:type="paragraph" w:customStyle="1" w:styleId="680">
    <w:name w:val="xl132"/>
    <w:basedOn w:val="1"/>
    <w:qFormat/>
    <w:uiPriority w:val="0"/>
    <w:pPr>
      <w:widowControl/>
      <w:pBdr>
        <w:top w:val="single" w:color="auto" w:sz="8" w:space="0"/>
      </w:pBdr>
      <w:spacing w:before="100" w:beforeAutospacing="1" w:after="100" w:afterAutospacing="1" w:line="240" w:lineRule="atLeast"/>
      <w:jc w:val="center"/>
      <w:textAlignment w:val="top"/>
    </w:pPr>
    <w:rPr>
      <w:rFonts w:ascii="宋体" w:hAnsi="宋体" w:cs="宋体"/>
      <w:kern w:val="0"/>
      <w:sz w:val="16"/>
      <w:szCs w:val="16"/>
    </w:rPr>
  </w:style>
  <w:style w:type="paragraph" w:customStyle="1" w:styleId="681">
    <w:name w:val="xl121"/>
    <w:basedOn w:val="1"/>
    <w:qFormat/>
    <w:uiPriority w:val="0"/>
    <w:pPr>
      <w:widowControl/>
      <w:pBdr>
        <w:top w:val="single" w:color="000000" w:sz="8" w:space="0"/>
        <w:left w:val="single" w:color="000000" w:sz="8" w:space="0"/>
      </w:pBdr>
      <w:spacing w:before="100" w:beforeAutospacing="1" w:after="100" w:afterAutospacing="1" w:line="240" w:lineRule="atLeast"/>
      <w:jc w:val="center"/>
      <w:textAlignment w:val="top"/>
    </w:pPr>
    <w:rPr>
      <w:rFonts w:ascii="宋体" w:hAnsi="宋体" w:cs="宋体"/>
      <w:color w:val="000000"/>
      <w:kern w:val="0"/>
      <w:sz w:val="16"/>
      <w:szCs w:val="16"/>
    </w:rPr>
  </w:style>
  <w:style w:type="paragraph" w:customStyle="1" w:styleId="682">
    <w:name w:val="xl153"/>
    <w:basedOn w:val="1"/>
    <w:qFormat/>
    <w:uiPriority w:val="0"/>
    <w:pPr>
      <w:widowControl/>
      <w:pBdr>
        <w:top w:val="single" w:color="auto" w:sz="8" w:space="0"/>
        <w:right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character" w:customStyle="1" w:styleId="683">
    <w:name w:val="引用 Char1"/>
    <w:basedOn w:val="64"/>
    <w:qFormat/>
    <w:uiPriority w:val="29"/>
    <w:rPr>
      <w:i/>
      <w:iCs/>
      <w:color w:val="404040" w:themeColor="text1" w:themeTint="BF"/>
      <w:kern w:val="2"/>
      <w:sz w:val="21"/>
      <w14:textFill>
        <w14:solidFill>
          <w14:schemeClr w14:val="tx1">
            <w14:lumMod w14:val="75000"/>
            <w14:lumOff w14:val="25000"/>
          </w14:schemeClr>
        </w14:solidFill>
      </w14:textFill>
    </w:rPr>
  </w:style>
  <w:style w:type="paragraph" w:customStyle="1" w:styleId="684">
    <w:name w:val="xl242"/>
    <w:basedOn w:val="1"/>
    <w:qFormat/>
    <w:uiPriority w:val="0"/>
    <w:pPr>
      <w:widowControl/>
      <w:pBdr>
        <w:left w:val="single" w:color="auto" w:sz="8" w:space="0"/>
        <w:bottom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85">
    <w:name w:val="编号2"/>
    <w:qFormat/>
    <w:uiPriority w:val="0"/>
    <w:pPr>
      <w:keepLines/>
      <w:numPr>
        <w:ilvl w:val="0"/>
        <w:numId w:val="5"/>
      </w:numPr>
      <w:tabs>
        <w:tab w:val="left" w:pos="1864"/>
        <w:tab w:val="clear" w:pos="425"/>
      </w:tabs>
      <w:overflowPunct w:val="0"/>
      <w:autoSpaceDE w:val="0"/>
      <w:autoSpaceDN w:val="0"/>
      <w:snapToGrid w:val="0"/>
      <w:spacing w:beforeLines="70" w:afterLines="70" w:line="360" w:lineRule="exact"/>
      <w:jc w:val="both"/>
    </w:pPr>
    <w:rPr>
      <w:rFonts w:ascii="Times New Roman" w:hAnsi="Times New Roman" w:eastAsia="宋体" w:cs="宋体"/>
      <w:snapToGrid w:val="0"/>
      <w:spacing w:val="30"/>
      <w:sz w:val="24"/>
      <w:lang w:val="en-GB" w:eastAsia="zh-CN" w:bidi="ar-SA"/>
    </w:rPr>
  </w:style>
  <w:style w:type="paragraph" w:customStyle="1" w:styleId="686">
    <w:name w:val="xl90"/>
    <w:basedOn w:val="1"/>
    <w:qFormat/>
    <w:uiPriority w:val="0"/>
    <w:pPr>
      <w:widowControl/>
      <w:pBdr>
        <w:bottom w:val="single" w:color="auto" w:sz="8" w:space="0"/>
        <w:righ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87">
    <w:name w:val="xl275"/>
    <w:basedOn w:val="1"/>
    <w:qFormat/>
    <w:uiPriority w:val="0"/>
    <w:pPr>
      <w:widowControl/>
      <w:pBdr>
        <w:top w:val="single" w:color="000000" w:sz="8" w:space="0"/>
        <w:left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88">
    <w:name w:val="xl309"/>
    <w:basedOn w:val="1"/>
    <w:qFormat/>
    <w:uiPriority w:val="0"/>
    <w:pPr>
      <w:widowControl/>
      <w:pBdr>
        <w:top w:val="single" w:color="auto" w:sz="8" w:space="0"/>
        <w:bottom w:val="single" w:color="000000"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89">
    <w:name w:val="xl176"/>
    <w:basedOn w:val="1"/>
    <w:qFormat/>
    <w:uiPriority w:val="0"/>
    <w:pPr>
      <w:widowControl/>
      <w:pBdr>
        <w:left w:val="single" w:color="000000" w:sz="8" w:space="0"/>
        <w:bottom w:val="single" w:color="000000"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90">
    <w:name w:val="xl223"/>
    <w:basedOn w:val="1"/>
    <w:qFormat/>
    <w:uiPriority w:val="0"/>
    <w:pPr>
      <w:widowControl/>
      <w:pBdr>
        <w:left w:val="single" w:color="auto" w:sz="8" w:space="0"/>
        <w:right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91">
    <w:name w:val="xl253"/>
    <w:basedOn w:val="1"/>
    <w:qFormat/>
    <w:uiPriority w:val="0"/>
    <w:pPr>
      <w:widowControl/>
      <w:pBdr>
        <w:top w:val="single" w:color="000000" w:sz="8" w:space="0"/>
        <w:left w:val="single" w:color="auto" w:sz="8" w:space="0"/>
      </w:pBdr>
      <w:spacing w:before="100" w:beforeAutospacing="1" w:after="100" w:afterAutospacing="1" w:line="240" w:lineRule="atLeast"/>
      <w:jc w:val="left"/>
      <w:textAlignment w:val="top"/>
    </w:pPr>
    <w:rPr>
      <w:rFonts w:ascii="宋体" w:hAnsi="宋体" w:cs="宋体"/>
      <w:color w:val="000000"/>
      <w:kern w:val="0"/>
      <w:sz w:val="16"/>
      <w:szCs w:val="16"/>
    </w:rPr>
  </w:style>
  <w:style w:type="paragraph" w:customStyle="1" w:styleId="692">
    <w:name w:val="xl261"/>
    <w:basedOn w:val="1"/>
    <w:qFormat/>
    <w:uiPriority w:val="0"/>
    <w:pPr>
      <w:widowControl/>
      <w:spacing w:before="100" w:beforeAutospacing="1" w:after="100" w:afterAutospacing="1" w:line="240" w:lineRule="atLeast"/>
      <w:jc w:val="center"/>
    </w:pPr>
    <w:rPr>
      <w:rFonts w:ascii="宋体" w:hAnsi="宋体" w:cs="宋体"/>
      <w:b/>
      <w:bCs/>
      <w:color w:val="000000"/>
      <w:kern w:val="0"/>
      <w:sz w:val="16"/>
      <w:szCs w:val="16"/>
    </w:rPr>
  </w:style>
  <w:style w:type="paragraph" w:customStyle="1" w:styleId="693">
    <w:name w:val="xl241"/>
    <w:basedOn w:val="1"/>
    <w:qFormat/>
    <w:uiPriority w:val="0"/>
    <w:pPr>
      <w:widowControl/>
      <w:pBdr>
        <w:right w:val="single" w:color="000000" w:sz="8" w:space="0"/>
      </w:pBdr>
      <w:spacing w:before="100" w:beforeAutospacing="1" w:after="100" w:afterAutospacing="1" w:line="240" w:lineRule="atLeast"/>
      <w:jc w:val="left"/>
    </w:pPr>
    <w:rPr>
      <w:color w:val="000000"/>
      <w:kern w:val="0"/>
      <w:sz w:val="16"/>
      <w:szCs w:val="16"/>
    </w:rPr>
  </w:style>
  <w:style w:type="paragraph" w:customStyle="1" w:styleId="694">
    <w:name w:val="xl123"/>
    <w:basedOn w:val="1"/>
    <w:qFormat/>
    <w:uiPriority w:val="0"/>
    <w:pPr>
      <w:widowControl/>
      <w:pBdr>
        <w:top w:val="single" w:color="000000" w:sz="8" w:space="0"/>
        <w:left w:val="single" w:color="000000" w:sz="8" w:space="0"/>
        <w:bottom w:val="single" w:color="auto" w:sz="8" w:space="0"/>
      </w:pBdr>
      <w:spacing w:before="100" w:beforeAutospacing="1" w:after="100" w:afterAutospacing="1" w:line="240" w:lineRule="atLeast"/>
      <w:jc w:val="center"/>
    </w:pPr>
    <w:rPr>
      <w:rFonts w:ascii="宋体" w:hAnsi="宋体" w:cs="宋体"/>
      <w:color w:val="000000"/>
      <w:kern w:val="0"/>
      <w:sz w:val="16"/>
      <w:szCs w:val="16"/>
    </w:rPr>
  </w:style>
  <w:style w:type="paragraph" w:customStyle="1" w:styleId="695">
    <w:name w:val="xl187"/>
    <w:basedOn w:val="1"/>
    <w:qFormat/>
    <w:uiPriority w:val="0"/>
    <w:pPr>
      <w:widowControl/>
      <w:pBdr>
        <w:top w:val="single" w:color="auto" w:sz="8" w:space="0"/>
        <w:left w:val="single" w:color="auto" w:sz="8" w:space="0"/>
        <w:bottom w:val="single" w:color="auto" w:sz="8" w:space="0"/>
      </w:pBdr>
      <w:spacing w:before="100" w:beforeAutospacing="1" w:after="100" w:afterAutospacing="1" w:line="240" w:lineRule="atLeast"/>
      <w:jc w:val="left"/>
    </w:pPr>
    <w:rPr>
      <w:rFonts w:ascii="宋体" w:hAnsi="宋体" w:cs="宋体"/>
      <w:color w:val="000000"/>
      <w:kern w:val="0"/>
      <w:sz w:val="16"/>
      <w:szCs w:val="16"/>
    </w:rPr>
  </w:style>
  <w:style w:type="paragraph" w:customStyle="1" w:styleId="696">
    <w:name w:val="Char1 Char Char Char Char Char Char Char Char Char1"/>
    <w:basedOn w:val="1"/>
    <w:qFormat/>
    <w:uiPriority w:val="0"/>
    <w:pPr>
      <w:widowControl/>
      <w:spacing w:line="240" w:lineRule="atLeast"/>
      <w:jc w:val="left"/>
    </w:pPr>
    <w:rPr>
      <w:sz w:val="30"/>
      <w:szCs w:val="24"/>
    </w:rPr>
  </w:style>
  <w:style w:type="paragraph" w:customStyle="1" w:styleId="697">
    <w:name w:val="xl316"/>
    <w:basedOn w:val="1"/>
    <w:qFormat/>
    <w:uiPriority w:val="0"/>
    <w:pPr>
      <w:widowControl/>
      <w:pBdr>
        <w:top w:val="single" w:color="auto" w:sz="8" w:space="0"/>
        <w:bottom w:val="single" w:color="auto" w:sz="8" w:space="0"/>
      </w:pBdr>
      <w:spacing w:before="100" w:beforeAutospacing="1" w:after="100" w:afterAutospacing="1" w:line="240" w:lineRule="atLeast"/>
      <w:jc w:val="left"/>
    </w:pPr>
    <w:rPr>
      <w:color w:val="000000"/>
      <w:kern w:val="0"/>
      <w:sz w:val="16"/>
      <w:szCs w:val="16"/>
    </w:rPr>
  </w:style>
  <w:style w:type="character" w:customStyle="1" w:styleId="698">
    <w:name w:val="正文文本缩进 Char2"/>
    <w:qFormat/>
    <w:uiPriority w:val="99"/>
    <w:rPr>
      <w:kern w:val="2"/>
      <w:sz w:val="21"/>
      <w:szCs w:val="22"/>
    </w:rPr>
  </w:style>
  <w:style w:type="character" w:customStyle="1" w:styleId="699">
    <w:name w:val="正文首行缩进 2 Char1"/>
    <w:basedOn w:val="698"/>
    <w:semiHidden/>
    <w:qFormat/>
    <w:uiPriority w:val="99"/>
    <w:rPr>
      <w:kern w:val="2"/>
      <w:sz w:val="21"/>
      <w:szCs w:val="22"/>
    </w:rPr>
  </w:style>
  <w:style w:type="character" w:customStyle="1" w:styleId="700">
    <w:name w:val="标题 Char2"/>
    <w:qFormat/>
    <w:uiPriority w:val="10"/>
    <w:rPr>
      <w:rFonts w:ascii="Cambria" w:hAnsi="Cambria" w:cs="Times New Roman"/>
      <w:b/>
      <w:bCs/>
      <w:kern w:val="2"/>
      <w:sz w:val="32"/>
      <w:szCs w:val="32"/>
    </w:rPr>
  </w:style>
  <w:style w:type="character" w:customStyle="1" w:styleId="701">
    <w:name w:val="文档结构图 Char1"/>
    <w:qFormat/>
    <w:uiPriority w:val="99"/>
    <w:rPr>
      <w:rFonts w:ascii="宋体"/>
      <w:kern w:val="2"/>
      <w:sz w:val="18"/>
      <w:szCs w:val="18"/>
    </w:rPr>
  </w:style>
  <w:style w:type="character" w:customStyle="1" w:styleId="702">
    <w:name w:val="正文文本 Char2"/>
    <w:semiHidden/>
    <w:qFormat/>
    <w:uiPriority w:val="99"/>
    <w:rPr>
      <w:kern w:val="2"/>
      <w:sz w:val="21"/>
      <w:szCs w:val="22"/>
    </w:rPr>
  </w:style>
  <w:style w:type="character" w:customStyle="1" w:styleId="703">
    <w:name w:val="正文首行缩进 Char1"/>
    <w:basedOn w:val="702"/>
    <w:semiHidden/>
    <w:qFormat/>
    <w:uiPriority w:val="99"/>
    <w:rPr>
      <w:kern w:val="2"/>
      <w:sz w:val="21"/>
      <w:szCs w:val="22"/>
    </w:rPr>
  </w:style>
  <w:style w:type="character" w:customStyle="1" w:styleId="704">
    <w:name w:val="正文文本 3 Char1"/>
    <w:semiHidden/>
    <w:qFormat/>
    <w:uiPriority w:val="99"/>
    <w:rPr>
      <w:kern w:val="2"/>
      <w:sz w:val="16"/>
      <w:szCs w:val="16"/>
    </w:rPr>
  </w:style>
  <w:style w:type="character" w:customStyle="1" w:styleId="705">
    <w:name w:val="尾注文本 Char1"/>
    <w:qFormat/>
    <w:uiPriority w:val="99"/>
    <w:rPr>
      <w:kern w:val="2"/>
      <w:sz w:val="21"/>
      <w:szCs w:val="22"/>
    </w:rPr>
  </w:style>
  <w:style w:type="character" w:customStyle="1" w:styleId="706">
    <w:name w:val="正文文本 2 Char2"/>
    <w:semiHidden/>
    <w:qFormat/>
    <w:uiPriority w:val="99"/>
    <w:rPr>
      <w:kern w:val="2"/>
      <w:sz w:val="21"/>
      <w:szCs w:val="22"/>
    </w:rPr>
  </w:style>
  <w:style w:type="character" w:customStyle="1" w:styleId="707">
    <w:name w:val="正文文本缩进 3 Char1"/>
    <w:semiHidden/>
    <w:qFormat/>
    <w:uiPriority w:val="99"/>
    <w:rPr>
      <w:kern w:val="2"/>
      <w:sz w:val="16"/>
      <w:szCs w:val="16"/>
    </w:rPr>
  </w:style>
  <w:style w:type="character" w:customStyle="1" w:styleId="708">
    <w:name w:val="日期 Char1"/>
    <w:qFormat/>
    <w:uiPriority w:val="99"/>
    <w:rPr>
      <w:kern w:val="2"/>
      <w:sz w:val="21"/>
      <w:szCs w:val="22"/>
    </w:rPr>
  </w:style>
  <w:style w:type="character" w:customStyle="1" w:styleId="709">
    <w:name w:val="脚注文本 Char1"/>
    <w:qFormat/>
    <w:uiPriority w:val="99"/>
    <w:rPr>
      <w:kern w:val="2"/>
      <w:sz w:val="18"/>
      <w:szCs w:val="18"/>
    </w:rPr>
  </w:style>
  <w:style w:type="character" w:customStyle="1" w:styleId="710">
    <w:name w:val="正文文本缩进 2 Char1"/>
    <w:qFormat/>
    <w:uiPriority w:val="99"/>
    <w:rPr>
      <w:kern w:val="2"/>
      <w:sz w:val="21"/>
      <w:szCs w:val="22"/>
    </w:rPr>
  </w:style>
  <w:style w:type="paragraph" w:customStyle="1" w:styleId="711">
    <w:name w:val="列出段落6"/>
    <w:basedOn w:val="1"/>
    <w:link w:val="712"/>
    <w:qFormat/>
    <w:uiPriority w:val="0"/>
    <w:pPr>
      <w:ind w:firstLine="420" w:firstLineChars="200"/>
    </w:pPr>
    <w:rPr>
      <w:rFonts w:ascii="Calibri" w:hAnsi="Calibri"/>
      <w:szCs w:val="22"/>
      <w:lang w:val="zh-CN"/>
    </w:rPr>
  </w:style>
  <w:style w:type="character" w:customStyle="1" w:styleId="712">
    <w:name w:val="列出段落 Char"/>
    <w:link w:val="711"/>
    <w:qFormat/>
    <w:uiPriority w:val="0"/>
    <w:rPr>
      <w:rFonts w:ascii="Calibri" w:hAnsi="Calibri"/>
      <w:kern w:val="2"/>
      <w:sz w:val="21"/>
      <w:szCs w:val="22"/>
      <w:lang w:val="zh-CN" w:eastAsia="zh-CN"/>
    </w:rPr>
  </w:style>
  <w:style w:type="character" w:customStyle="1" w:styleId="713">
    <w:name w:val="页眉 Char"/>
    <w:qFormat/>
    <w:uiPriority w:val="0"/>
    <w:rPr>
      <w:kern w:val="2"/>
      <w:sz w:val="18"/>
    </w:rPr>
  </w:style>
  <w:style w:type="paragraph" w:customStyle="1" w:styleId="714">
    <w:name w:val="_Style 4"/>
    <w:basedOn w:val="1"/>
    <w:qFormat/>
    <w:uiPriority w:val="0"/>
    <w:pPr>
      <w:ind w:firstLine="420" w:firstLineChars="200"/>
    </w:pPr>
    <w:rPr>
      <w:rFonts w:ascii="Calibri" w:hAnsi="Calibri"/>
      <w:szCs w:val="22"/>
    </w:rPr>
  </w:style>
  <w:style w:type="paragraph" w:customStyle="1" w:styleId="715">
    <w:name w:val="样式 表格图片居中"/>
    <w:basedOn w:val="1"/>
    <w:next w:val="1"/>
    <w:qFormat/>
    <w:uiPriority w:val="0"/>
    <w:pPr>
      <w:adjustRightInd w:val="0"/>
      <w:jc w:val="center"/>
      <w:textAlignment w:val="center"/>
    </w:pPr>
    <w:rPr>
      <w:rFonts w:ascii="宋体" w:hAnsi="宋体" w:cs="宋体"/>
      <w:kern w:val="22"/>
    </w:rPr>
  </w:style>
  <w:style w:type="paragraph" w:customStyle="1" w:styleId="716">
    <w:name w:val="样式 标题 3"/>
    <w:basedOn w:val="6"/>
    <w:next w:val="1"/>
    <w:qFormat/>
    <w:uiPriority w:val="0"/>
    <w:pPr>
      <w:numPr>
        <w:ilvl w:val="2"/>
        <w:numId w:val="6"/>
      </w:numPr>
      <w:tabs>
        <w:tab w:val="left" w:pos="5977"/>
        <w:tab w:val="clear" w:pos="360"/>
      </w:tabs>
      <w:spacing w:line="440" w:lineRule="exact"/>
      <w:ind w:firstLine="241"/>
      <w:jc w:val="left"/>
    </w:pPr>
    <w:rPr>
      <w:rFonts w:ascii="Calibri" w:hAnsi="Calibri" w:cs="黑体"/>
      <w:spacing w:val="20"/>
      <w:kern w:val="0"/>
      <w:sz w:val="28"/>
      <w:szCs w:val="20"/>
    </w:rPr>
  </w:style>
  <w:style w:type="character" w:customStyle="1" w:styleId="717">
    <w:name w:val="@他1"/>
    <w:basedOn w:val="64"/>
    <w:unhideWhenUsed/>
    <w:qFormat/>
    <w:uiPriority w:val="99"/>
    <w:rPr>
      <w:color w:val="2B579A"/>
      <w:shd w:val="clear" w:color="auto" w:fill="E6E6E6"/>
    </w:rPr>
  </w:style>
  <w:style w:type="paragraph" w:customStyle="1" w:styleId="718">
    <w:name w:val="_Style 1"/>
    <w:basedOn w:val="1"/>
    <w:qFormat/>
    <w:uiPriority w:val="34"/>
    <w:pPr>
      <w:ind w:firstLine="420" w:firstLineChars="200"/>
    </w:pPr>
    <w:rPr>
      <w:rFonts w:ascii="Calibri" w:hAnsi="Calibri"/>
      <w:szCs w:val="22"/>
    </w:rPr>
  </w:style>
  <w:style w:type="paragraph" w:customStyle="1" w:styleId="719">
    <w:name w:val="修订4"/>
    <w:hidden/>
    <w:unhideWhenUsed/>
    <w:qFormat/>
    <w:uiPriority w:val="99"/>
    <w:rPr>
      <w:rFonts w:ascii="Times New Roman" w:hAnsi="Times New Roman" w:eastAsia="宋体" w:cs="Times New Roman"/>
      <w:kern w:val="2"/>
      <w:sz w:val="21"/>
      <w:lang w:val="en-US" w:eastAsia="zh-CN" w:bidi="ar-SA"/>
    </w:rPr>
  </w:style>
  <w:style w:type="paragraph" w:styleId="720">
    <w:name w:val="List Paragraph"/>
    <w:basedOn w:val="1"/>
    <w:qFormat/>
    <w:uiPriority w:val="34"/>
    <w:pPr>
      <w:ind w:firstLine="420" w:firstLineChars="200"/>
    </w:pPr>
    <w:rPr>
      <w:rFonts w:ascii="Calibri" w:hAnsi="Calibri"/>
      <w:szCs w:val="22"/>
    </w:rPr>
  </w:style>
  <w:style w:type="paragraph" w:customStyle="1" w:styleId="721">
    <w:name w:val="_Style 7"/>
    <w:basedOn w:val="1"/>
    <w:qFormat/>
    <w:uiPriority w:val="34"/>
    <w:pPr>
      <w:ind w:firstLine="420" w:firstLineChars="200"/>
    </w:pPr>
  </w:style>
  <w:style w:type="paragraph" w:customStyle="1" w:styleId="722">
    <w:name w:val="修订5"/>
    <w:hidden/>
    <w:semiHidden/>
    <w:qFormat/>
    <w:uiPriority w:val="99"/>
    <w:rPr>
      <w:rFonts w:ascii="Times New Roman" w:hAnsi="Times New Roman" w:eastAsia="宋体" w:cs="Times New Roman"/>
      <w:kern w:val="2"/>
      <w:sz w:val="21"/>
      <w:lang w:val="en-US" w:eastAsia="zh-CN" w:bidi="ar-SA"/>
    </w:rPr>
  </w:style>
  <w:style w:type="paragraph" w:customStyle="1" w:styleId="723">
    <w:name w:val="修订6"/>
    <w:hidden/>
    <w:semiHidden/>
    <w:qFormat/>
    <w:uiPriority w:val="99"/>
    <w:rPr>
      <w:rFonts w:ascii="Times New Roman" w:hAnsi="Times New Roman" w:eastAsia="宋体" w:cs="Times New Roman"/>
      <w:kern w:val="2"/>
      <w:sz w:val="21"/>
      <w:lang w:val="en-US" w:eastAsia="zh-CN" w:bidi="ar-SA"/>
    </w:rPr>
  </w:style>
  <w:style w:type="paragraph" w:customStyle="1" w:styleId="724">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725">
    <w:name w:val="Char Char6"/>
    <w:qFormat/>
    <w:uiPriority w:val="0"/>
    <w:rPr>
      <w:rFonts w:ascii="Arial" w:hAnsi="Arial" w:eastAsia="宋体"/>
      <w:b/>
      <w:kern w:val="44"/>
      <w:sz w:val="36"/>
      <w:lang w:val="en-US" w:eastAsia="zh-CN"/>
    </w:rPr>
  </w:style>
  <w:style w:type="character" w:customStyle="1" w:styleId="726">
    <w:name w:val="普通 (Web) Char"/>
    <w:link w:val="727"/>
    <w:qFormat/>
    <w:uiPriority w:val="0"/>
    <w:rPr>
      <w:rFonts w:ascii="宋体" w:hAnsi="宋体"/>
      <w:sz w:val="24"/>
      <w:szCs w:val="24"/>
    </w:rPr>
  </w:style>
  <w:style w:type="paragraph" w:customStyle="1" w:styleId="727">
    <w:name w:val="普通 (Web)"/>
    <w:basedOn w:val="1"/>
    <w:link w:val="726"/>
    <w:qFormat/>
    <w:uiPriority w:val="0"/>
    <w:pPr>
      <w:widowControl/>
      <w:spacing w:before="100" w:beforeAutospacing="1" w:after="100" w:afterAutospacing="1"/>
      <w:jc w:val="left"/>
    </w:pPr>
    <w:rPr>
      <w:rFonts w:ascii="宋体" w:hAnsi="宋体"/>
      <w:kern w:val="0"/>
      <w:sz w:val="24"/>
      <w:szCs w:val="24"/>
    </w:rPr>
  </w:style>
  <w:style w:type="character" w:customStyle="1" w:styleId="728">
    <w:name w:val="ggbt1"/>
    <w:qFormat/>
    <w:uiPriority w:val="0"/>
    <w:rPr>
      <w:rFonts w:eastAsia="宋体"/>
      <w:b/>
      <w:bCs/>
      <w:kern w:val="2"/>
      <w:sz w:val="22"/>
      <w:szCs w:val="22"/>
      <w:lang w:val="en-US" w:eastAsia="zh-CN" w:bidi="ar-SA"/>
    </w:rPr>
  </w:style>
  <w:style w:type="character" w:customStyle="1" w:styleId="729">
    <w:name w:val="标题 2 Char1"/>
    <w:qFormat/>
    <w:uiPriority w:val="0"/>
    <w:rPr>
      <w:rFonts w:ascii="Arial" w:hAnsi="Arial" w:eastAsia="黑体"/>
      <w:b/>
      <w:kern w:val="2"/>
      <w:sz w:val="28"/>
      <w:lang w:val="en-US" w:eastAsia="zh-CN" w:bidi="ar-SA"/>
    </w:rPr>
  </w:style>
  <w:style w:type="character" w:customStyle="1" w:styleId="730">
    <w:name w:val="javascript"/>
    <w:qFormat/>
    <w:uiPriority w:val="0"/>
    <w:rPr>
      <w:rFonts w:eastAsia="宋体"/>
      <w:kern w:val="2"/>
      <w:sz w:val="24"/>
      <w:szCs w:val="24"/>
      <w:lang w:val="en-US" w:eastAsia="zh-CN" w:bidi="ar-SA"/>
    </w:rPr>
  </w:style>
  <w:style w:type="character" w:customStyle="1" w:styleId="731">
    <w:name w:val="font71"/>
    <w:qFormat/>
    <w:uiPriority w:val="0"/>
    <w:rPr>
      <w:rFonts w:hint="eastAsia" w:ascii="宋体" w:hAnsi="宋体" w:eastAsia="宋体" w:cs="宋体"/>
      <w:b/>
      <w:color w:val="000000"/>
      <w:sz w:val="21"/>
      <w:szCs w:val="21"/>
      <w:u w:val="none"/>
    </w:rPr>
  </w:style>
  <w:style w:type="character" w:customStyle="1" w:styleId="732">
    <w:name w:val="Alt+2 Char"/>
    <w:qFormat/>
    <w:uiPriority w:val="0"/>
    <w:rPr>
      <w:rFonts w:ascii="Arial" w:hAnsi="Arial" w:eastAsia="黑体"/>
      <w:b/>
      <w:bCs/>
      <w:kern w:val="2"/>
      <w:sz w:val="32"/>
      <w:szCs w:val="32"/>
      <w:lang w:val="en-US" w:eastAsia="zh-CN" w:bidi="ar-SA"/>
    </w:rPr>
  </w:style>
  <w:style w:type="character" w:customStyle="1" w:styleId="733">
    <w:name w:val="Char Char31"/>
    <w:qFormat/>
    <w:uiPriority w:val="0"/>
    <w:rPr>
      <w:rFonts w:ascii="Arial" w:hAnsi="Arial" w:eastAsia="宋体"/>
      <w:b/>
      <w:bCs/>
      <w:color w:val="000000"/>
      <w:kern w:val="44"/>
      <w:sz w:val="36"/>
      <w:szCs w:val="36"/>
      <w:lang w:val="en-US" w:eastAsia="zh-CN" w:bidi="ar-SA"/>
    </w:rPr>
  </w:style>
  <w:style w:type="character" w:customStyle="1" w:styleId="734">
    <w:name w:val="font61"/>
    <w:qFormat/>
    <w:uiPriority w:val="0"/>
    <w:rPr>
      <w:rFonts w:hint="default" w:ascii="Times New Roman" w:hAnsi="Times New Roman" w:cs="Times New Roman"/>
      <w:b/>
      <w:color w:val="000000"/>
      <w:sz w:val="21"/>
      <w:szCs w:val="21"/>
      <w:u w:val="none"/>
    </w:rPr>
  </w:style>
  <w:style w:type="character" w:customStyle="1" w:styleId="735">
    <w:name w:val="Char Char21"/>
    <w:qFormat/>
    <w:uiPriority w:val="0"/>
    <w:rPr>
      <w:rFonts w:ascii="Arial" w:hAnsi="Arial" w:eastAsia="宋体"/>
      <w:b/>
      <w:kern w:val="2"/>
      <w:sz w:val="44"/>
      <w:lang w:val="en-US" w:eastAsia="zh-CN" w:bidi="ar-SA"/>
    </w:rPr>
  </w:style>
  <w:style w:type="character" w:customStyle="1" w:styleId="736">
    <w:name w:val="普通(网站) Char"/>
    <w:qFormat/>
    <w:uiPriority w:val="0"/>
    <w:rPr>
      <w:rFonts w:ascii="Arial Unicode MS" w:hAnsi="Arial Unicode MS" w:eastAsia="Arial Unicode MS" w:cs="Arial Unicode MS"/>
      <w:sz w:val="24"/>
      <w:szCs w:val="24"/>
      <w:lang w:val="en-US" w:eastAsia="zh-CN" w:bidi="ar-SA"/>
    </w:rPr>
  </w:style>
  <w:style w:type="paragraph" w:customStyle="1" w:styleId="737">
    <w:name w:val="Char Char Char Char Char Char Char Char Char Char Char Char Char Char Char Char Char Char1 Char Char Char Char Char Char Char Char Char Char2"/>
    <w:basedOn w:val="1"/>
    <w:qFormat/>
    <w:uiPriority w:val="0"/>
    <w:pPr>
      <w:spacing w:line="360" w:lineRule="auto"/>
      <w:jc w:val="left"/>
    </w:pPr>
    <w:rPr>
      <w:rFonts w:eastAsia="仿宋_GB2312"/>
      <w:b/>
      <w:sz w:val="32"/>
      <w:szCs w:val="24"/>
    </w:rPr>
  </w:style>
  <w:style w:type="paragraph" w:customStyle="1" w:styleId="738">
    <w:name w:val="样式 标题 4 + 段前: 0 磅 段后: 0 磅 行距: 1.5 倍行距"/>
    <w:basedOn w:val="8"/>
    <w:qFormat/>
    <w:uiPriority w:val="0"/>
    <w:pPr>
      <w:spacing w:beforeLines="0" w:afterLines="0"/>
      <w:ind w:left="0" w:firstLine="0"/>
      <w:jc w:val="both"/>
    </w:pPr>
    <w:rPr>
      <w:rFonts w:cs="宋体"/>
      <w:color w:val="auto"/>
      <w:sz w:val="28"/>
      <w:szCs w:val="20"/>
    </w:rPr>
  </w:style>
  <w:style w:type="paragraph" w:customStyle="1" w:styleId="739">
    <w:name w:val="Char1 Char Char Char11"/>
    <w:basedOn w:val="1"/>
    <w:qFormat/>
    <w:uiPriority w:val="0"/>
    <w:pPr>
      <w:spacing w:beforeLines="50" w:afterLines="50" w:line="360" w:lineRule="auto"/>
      <w:ind w:left="357" w:hanging="357"/>
      <w:jc w:val="left"/>
    </w:pPr>
    <w:rPr>
      <w:rFonts w:eastAsia="仿宋_GB2312"/>
      <w:b/>
      <w:sz w:val="32"/>
      <w:szCs w:val="24"/>
    </w:rPr>
  </w:style>
  <w:style w:type="paragraph" w:customStyle="1" w:styleId="740">
    <w:name w:val="1)"/>
    <w:basedOn w:val="1"/>
    <w:qFormat/>
    <w:uiPriority w:val="0"/>
    <w:pPr>
      <w:spacing w:line="360" w:lineRule="auto"/>
      <w:jc w:val="left"/>
    </w:pPr>
    <w:rPr>
      <w:rFonts w:ascii="仿宋_GB2312" w:eastAsia="仿宋_GB2312"/>
      <w:b/>
      <w:color w:val="000000"/>
      <w:sz w:val="24"/>
    </w:rPr>
  </w:style>
  <w:style w:type="paragraph" w:customStyle="1" w:styleId="741">
    <w:name w:val="Char Char Char Char Char"/>
    <w:basedOn w:val="1"/>
    <w:qFormat/>
    <w:uiPriority w:val="0"/>
    <w:pPr>
      <w:tabs>
        <w:tab w:val="left" w:pos="750"/>
      </w:tabs>
      <w:ind w:left="750" w:hanging="750"/>
    </w:pPr>
    <w:rPr>
      <w:sz w:val="24"/>
      <w:szCs w:val="24"/>
    </w:rPr>
  </w:style>
  <w:style w:type="paragraph" w:customStyle="1" w:styleId="742">
    <w:name w:val="Char1 Char Char Char Char Char1"/>
    <w:basedOn w:val="1"/>
    <w:qFormat/>
    <w:uiPriority w:val="0"/>
    <w:pPr>
      <w:spacing w:beforeLines="50" w:afterLines="50" w:line="360" w:lineRule="auto"/>
      <w:ind w:left="357" w:hanging="357"/>
      <w:jc w:val="left"/>
    </w:pPr>
    <w:rPr>
      <w:rFonts w:eastAsia="仿宋_GB2312"/>
      <w:b/>
      <w:sz w:val="32"/>
      <w:szCs w:val="24"/>
    </w:rPr>
  </w:style>
  <w:style w:type="paragraph" w:customStyle="1" w:styleId="743">
    <w:name w:val="Char Char Char Char Char Char Char Char Char2"/>
    <w:basedOn w:val="1"/>
    <w:qFormat/>
    <w:uiPriority w:val="0"/>
    <w:pPr>
      <w:tabs>
        <w:tab w:val="left" w:pos="750"/>
      </w:tabs>
      <w:ind w:left="750" w:hanging="750"/>
    </w:pPr>
    <w:rPr>
      <w:sz w:val="24"/>
      <w:szCs w:val="24"/>
    </w:rPr>
  </w:style>
  <w:style w:type="paragraph" w:customStyle="1" w:styleId="744">
    <w:name w:val="Char Char Char Char Char Char Char Char Char Char Char2"/>
    <w:basedOn w:val="1"/>
    <w:qFormat/>
    <w:uiPriority w:val="0"/>
    <w:pPr>
      <w:tabs>
        <w:tab w:val="left" w:pos="750"/>
      </w:tabs>
      <w:ind w:left="750" w:hanging="750"/>
    </w:pPr>
    <w:rPr>
      <w:sz w:val="24"/>
      <w:szCs w:val="24"/>
    </w:rPr>
  </w:style>
  <w:style w:type="paragraph" w:customStyle="1" w:styleId="745">
    <w:name w:val="Char Char Char Char Char Char Char Char Char Char Char Char Char Char Char1 Char"/>
    <w:basedOn w:val="1"/>
    <w:qFormat/>
    <w:uiPriority w:val="0"/>
    <w:pPr>
      <w:tabs>
        <w:tab w:val="left" w:pos="750"/>
      </w:tabs>
      <w:ind w:left="750" w:hanging="750"/>
    </w:pPr>
    <w:rPr>
      <w:sz w:val="24"/>
      <w:szCs w:val="24"/>
    </w:rPr>
  </w:style>
  <w:style w:type="paragraph" w:customStyle="1" w:styleId="746">
    <w:name w:val="Char1 Char Char Char1 Char Char Char2"/>
    <w:basedOn w:val="1"/>
    <w:qFormat/>
    <w:uiPriority w:val="0"/>
    <w:pPr>
      <w:spacing w:line="360" w:lineRule="auto"/>
      <w:jc w:val="left"/>
    </w:pPr>
    <w:rPr>
      <w:rFonts w:eastAsia="仿宋_GB2312"/>
      <w:b/>
      <w:sz w:val="32"/>
      <w:szCs w:val="24"/>
    </w:rPr>
  </w:style>
  <w:style w:type="paragraph" w:customStyle="1" w:styleId="747">
    <w:name w:val="Char Char Char Char Char Char Char Char Char Char Char Char Char Char Char Char Char Char Char Char Char Char Char Char Char Char"/>
    <w:basedOn w:val="1"/>
    <w:qFormat/>
    <w:uiPriority w:val="0"/>
    <w:pPr>
      <w:spacing w:line="360" w:lineRule="auto"/>
      <w:jc w:val="left"/>
    </w:pPr>
    <w:rPr>
      <w:rFonts w:eastAsia="仿宋_GB2312"/>
      <w:b/>
      <w:sz w:val="32"/>
      <w:szCs w:val="24"/>
    </w:rPr>
  </w:style>
  <w:style w:type="paragraph" w:customStyle="1" w:styleId="748">
    <w:name w:val="Char13"/>
    <w:basedOn w:val="1"/>
    <w:qFormat/>
    <w:uiPriority w:val="0"/>
    <w:pPr>
      <w:spacing w:line="360" w:lineRule="auto"/>
      <w:jc w:val="left"/>
    </w:pPr>
    <w:rPr>
      <w:rFonts w:eastAsia="仿宋_GB2312"/>
      <w:b/>
      <w:sz w:val="32"/>
      <w:szCs w:val="24"/>
    </w:rPr>
  </w:style>
  <w:style w:type="paragraph" w:customStyle="1" w:styleId="749">
    <w:name w:val="Char Char Char Char3"/>
    <w:basedOn w:val="1"/>
    <w:qFormat/>
    <w:uiPriority w:val="0"/>
    <w:pPr>
      <w:spacing w:line="360" w:lineRule="auto"/>
      <w:jc w:val="left"/>
    </w:pPr>
    <w:rPr>
      <w:rFonts w:eastAsia="仿宋_GB2312"/>
      <w:b/>
      <w:sz w:val="32"/>
      <w:szCs w:val="24"/>
    </w:rPr>
  </w:style>
  <w:style w:type="paragraph" w:customStyle="1" w:styleId="750">
    <w:name w:val="Char Char1 Char Char Char"/>
    <w:basedOn w:val="1"/>
    <w:qFormat/>
    <w:uiPriority w:val="0"/>
    <w:pPr>
      <w:tabs>
        <w:tab w:val="left" w:pos="750"/>
      </w:tabs>
      <w:ind w:left="750" w:hanging="750"/>
    </w:pPr>
    <w:rPr>
      <w:sz w:val="24"/>
      <w:szCs w:val="24"/>
    </w:rPr>
  </w:style>
  <w:style w:type="paragraph" w:customStyle="1" w:styleId="751">
    <w:name w:val="Char22"/>
    <w:basedOn w:val="1"/>
    <w:qFormat/>
    <w:uiPriority w:val="0"/>
    <w:pPr>
      <w:spacing w:line="360" w:lineRule="auto"/>
      <w:jc w:val="left"/>
    </w:pPr>
    <w:rPr>
      <w:rFonts w:eastAsia="仿宋_GB2312"/>
      <w:b/>
      <w:sz w:val="32"/>
      <w:szCs w:val="24"/>
    </w:rPr>
  </w:style>
  <w:style w:type="paragraph" w:customStyle="1" w:styleId="752">
    <w:name w:val="Char Char Char Char Char Char Char Char Char Char Char Char Char Char Char Char Char Char Char"/>
    <w:basedOn w:val="19"/>
    <w:qFormat/>
    <w:uiPriority w:val="0"/>
    <w:pPr>
      <w:adjustRightInd w:val="0"/>
      <w:spacing w:line="436" w:lineRule="exact"/>
      <w:ind w:left="357"/>
      <w:jc w:val="left"/>
      <w:outlineLvl w:val="3"/>
    </w:pPr>
    <w:rPr>
      <w:szCs w:val="24"/>
    </w:rPr>
  </w:style>
  <w:style w:type="paragraph" w:customStyle="1" w:styleId="753">
    <w:name w:val="正文3"/>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754">
    <w:name w:val="Char1 Char Char Char2"/>
    <w:basedOn w:val="1"/>
    <w:qFormat/>
    <w:uiPriority w:val="0"/>
    <w:pPr>
      <w:spacing w:line="360" w:lineRule="auto"/>
      <w:jc w:val="left"/>
    </w:pPr>
    <w:rPr>
      <w:rFonts w:eastAsia="仿宋_GB2312"/>
      <w:b/>
      <w:sz w:val="32"/>
      <w:szCs w:val="24"/>
    </w:rPr>
  </w:style>
  <w:style w:type="paragraph" w:customStyle="1" w:styleId="755">
    <w:name w:val="Char1 Char Char Char Char Char Char Char Char Char2"/>
    <w:basedOn w:val="1"/>
    <w:qFormat/>
    <w:uiPriority w:val="0"/>
    <w:rPr>
      <w:sz w:val="30"/>
      <w:szCs w:val="24"/>
    </w:rPr>
  </w:style>
  <w:style w:type="paragraph" w:customStyle="1" w:styleId="756">
    <w:name w:val="Char5"/>
    <w:basedOn w:val="1"/>
    <w:qFormat/>
    <w:uiPriority w:val="0"/>
    <w:pPr>
      <w:spacing w:line="360" w:lineRule="auto"/>
      <w:jc w:val="left"/>
    </w:pPr>
    <w:rPr>
      <w:rFonts w:eastAsia="仿宋_GB2312"/>
      <w:b/>
      <w:sz w:val="32"/>
      <w:szCs w:val="24"/>
    </w:rPr>
  </w:style>
  <w:style w:type="paragraph" w:customStyle="1" w:styleId="757">
    <w:name w:val="Char Char1 Char Char Char Char Char Char"/>
    <w:basedOn w:val="1"/>
    <w:qFormat/>
    <w:uiPriority w:val="0"/>
    <w:pPr>
      <w:tabs>
        <w:tab w:val="left" w:pos="750"/>
      </w:tabs>
      <w:ind w:left="750" w:hanging="750"/>
    </w:pPr>
    <w:rPr>
      <w:sz w:val="24"/>
      <w:szCs w:val="24"/>
    </w:rPr>
  </w:style>
  <w:style w:type="paragraph" w:customStyle="1" w:styleId="758">
    <w:name w:val="Char Char Char Char Char Char1 Char2"/>
    <w:basedOn w:val="1"/>
    <w:qFormat/>
    <w:uiPriority w:val="0"/>
    <w:pPr>
      <w:spacing w:line="360" w:lineRule="auto"/>
      <w:jc w:val="left"/>
    </w:pPr>
    <w:rPr>
      <w:rFonts w:eastAsia="仿宋_GB2312"/>
      <w:b/>
      <w:sz w:val="32"/>
      <w:szCs w:val="24"/>
    </w:rPr>
  </w:style>
  <w:style w:type="paragraph" w:customStyle="1" w:styleId="759">
    <w:name w:val="Char Char Char Char Char Char1 Char Char Char Char"/>
    <w:basedOn w:val="1"/>
    <w:qFormat/>
    <w:uiPriority w:val="0"/>
    <w:pPr>
      <w:spacing w:line="360" w:lineRule="auto"/>
      <w:jc w:val="left"/>
    </w:pPr>
    <w:rPr>
      <w:rFonts w:eastAsia="仿宋_GB2312"/>
      <w:b/>
      <w:sz w:val="32"/>
      <w:szCs w:val="24"/>
    </w:rPr>
  </w:style>
  <w:style w:type="paragraph" w:customStyle="1" w:styleId="760">
    <w:name w:val="Char Char Char Char Char Char2"/>
    <w:basedOn w:val="1"/>
    <w:qFormat/>
    <w:uiPriority w:val="0"/>
    <w:pPr>
      <w:spacing w:line="360" w:lineRule="auto"/>
      <w:jc w:val="left"/>
    </w:pPr>
    <w:rPr>
      <w:rFonts w:eastAsia="仿宋_GB2312"/>
      <w:b/>
      <w:sz w:val="32"/>
      <w:szCs w:val="24"/>
    </w:rPr>
  </w:style>
  <w:style w:type="paragraph" w:customStyle="1" w:styleId="761">
    <w:name w:val="_Style 2"/>
    <w:basedOn w:val="1"/>
    <w:qFormat/>
    <w:uiPriority w:val="34"/>
    <w:pPr>
      <w:ind w:firstLine="420" w:firstLineChars="200"/>
    </w:pPr>
    <w:rPr>
      <w:szCs w:val="24"/>
    </w:rPr>
  </w:style>
  <w:style w:type="paragraph" w:customStyle="1" w:styleId="762">
    <w:name w:val="Char1 Char Char Char Char Char Char11"/>
    <w:basedOn w:val="1"/>
    <w:qFormat/>
    <w:uiPriority w:val="0"/>
    <w:rPr>
      <w:sz w:val="30"/>
      <w:szCs w:val="24"/>
    </w:rPr>
  </w:style>
  <w:style w:type="paragraph" w:customStyle="1" w:styleId="763">
    <w:name w:val="6'"/>
    <w:basedOn w:val="1"/>
    <w:qFormat/>
    <w:uiPriority w:val="0"/>
    <w:pPr>
      <w:autoSpaceDE w:val="0"/>
      <w:autoSpaceDN w:val="0"/>
      <w:adjustRightInd w:val="0"/>
      <w:snapToGrid w:val="0"/>
      <w:spacing w:line="320" w:lineRule="exact"/>
      <w:jc w:val="center"/>
    </w:pPr>
    <w:rPr>
      <w:spacing w:val="20"/>
      <w:kern w:val="28"/>
    </w:rPr>
  </w:style>
  <w:style w:type="paragraph" w:customStyle="1" w:styleId="764">
    <w:name w:val="Char Char Char Char Char Char Char Char Char Char Char Char Char Char Char"/>
    <w:basedOn w:val="1"/>
    <w:qFormat/>
    <w:uiPriority w:val="0"/>
    <w:pPr>
      <w:tabs>
        <w:tab w:val="left" w:pos="750"/>
      </w:tabs>
      <w:ind w:left="750" w:hanging="750"/>
    </w:pPr>
    <w:rPr>
      <w:sz w:val="24"/>
      <w:szCs w:val="24"/>
    </w:rPr>
  </w:style>
  <w:style w:type="paragraph" w:customStyle="1" w:styleId="765">
    <w:name w:val="Char Char Char Char Char Char Char Char Char Char Char Char Char Char Char Char Char Char1 Char Char Char Char Char Char Char Char Char Char Char Char Char1"/>
    <w:basedOn w:val="1"/>
    <w:qFormat/>
    <w:uiPriority w:val="0"/>
    <w:pPr>
      <w:spacing w:line="360" w:lineRule="auto"/>
      <w:jc w:val="left"/>
    </w:pPr>
    <w:rPr>
      <w:rFonts w:eastAsia="仿宋_GB2312"/>
      <w:b/>
      <w:sz w:val="32"/>
      <w:szCs w:val="24"/>
    </w:rPr>
  </w:style>
  <w:style w:type="paragraph" w:customStyle="1" w:styleId="766">
    <w:name w:val="Char Char Char Char Char Char Char Char Char Char Char Char Char Char Char Char Char Char Char Char Char Char Char Char Char Char Char Char2"/>
    <w:basedOn w:val="1"/>
    <w:qFormat/>
    <w:uiPriority w:val="0"/>
    <w:pPr>
      <w:spacing w:line="360" w:lineRule="auto"/>
      <w:jc w:val="left"/>
    </w:pPr>
    <w:rPr>
      <w:rFonts w:eastAsia="仿宋_GB2312"/>
      <w:b/>
      <w:sz w:val="32"/>
      <w:szCs w:val="24"/>
    </w:rPr>
  </w:style>
  <w:style w:type="paragraph" w:customStyle="1" w:styleId="767">
    <w:name w:val="Char Char Char1"/>
    <w:basedOn w:val="1"/>
    <w:qFormat/>
    <w:uiPriority w:val="0"/>
    <w:pPr>
      <w:spacing w:line="360" w:lineRule="auto"/>
      <w:jc w:val="left"/>
    </w:pPr>
    <w:rPr>
      <w:rFonts w:eastAsia="仿宋_GB2312"/>
      <w:b/>
      <w:sz w:val="32"/>
      <w:szCs w:val="24"/>
    </w:rPr>
  </w:style>
  <w:style w:type="paragraph" w:customStyle="1" w:styleId="768">
    <w:name w:val="Char Char Char Char Char Char Char2"/>
    <w:basedOn w:val="1"/>
    <w:qFormat/>
    <w:uiPriority w:val="0"/>
    <w:pPr>
      <w:tabs>
        <w:tab w:val="left" w:pos="750"/>
      </w:tabs>
      <w:ind w:left="750" w:hanging="750"/>
    </w:pPr>
    <w:rPr>
      <w:sz w:val="24"/>
      <w:szCs w:val="24"/>
    </w:rPr>
  </w:style>
  <w:style w:type="character" w:customStyle="1" w:styleId="769">
    <w:name w:val="访问过的超链接1"/>
    <w:qFormat/>
    <w:uiPriority w:val="0"/>
    <w:rPr>
      <w:color w:val="800080"/>
      <w:u w:val="single"/>
    </w:rPr>
  </w:style>
  <w:style w:type="character" w:customStyle="1" w:styleId="770">
    <w:name w:val="Char Char61"/>
    <w:qFormat/>
    <w:uiPriority w:val="0"/>
    <w:rPr>
      <w:rFonts w:ascii="Arial" w:hAnsi="Arial" w:eastAsia="宋体"/>
      <w:b/>
      <w:kern w:val="44"/>
      <w:sz w:val="36"/>
      <w:lang w:val="en-US" w:eastAsia="zh-CN"/>
    </w:rPr>
  </w:style>
  <w:style w:type="paragraph" w:customStyle="1" w:styleId="771">
    <w:name w:val="Char Char Char Char Char1"/>
    <w:basedOn w:val="1"/>
    <w:qFormat/>
    <w:uiPriority w:val="0"/>
    <w:pPr>
      <w:tabs>
        <w:tab w:val="left" w:pos="750"/>
      </w:tabs>
      <w:ind w:left="750" w:hanging="750"/>
    </w:pPr>
    <w:rPr>
      <w:sz w:val="24"/>
      <w:szCs w:val="24"/>
    </w:rPr>
  </w:style>
  <w:style w:type="paragraph" w:customStyle="1" w:styleId="772">
    <w:name w:val="Char Char1 Char Char Char Char Char Char1"/>
    <w:basedOn w:val="1"/>
    <w:qFormat/>
    <w:uiPriority w:val="0"/>
    <w:pPr>
      <w:tabs>
        <w:tab w:val="left" w:pos="750"/>
      </w:tabs>
      <w:ind w:left="750" w:hanging="750"/>
    </w:pPr>
    <w:rPr>
      <w:sz w:val="24"/>
      <w:szCs w:val="24"/>
    </w:rPr>
  </w:style>
  <w:style w:type="paragraph" w:customStyle="1" w:styleId="773">
    <w:name w:val="Char Char1 Char Char Char1"/>
    <w:basedOn w:val="1"/>
    <w:qFormat/>
    <w:uiPriority w:val="0"/>
    <w:pPr>
      <w:tabs>
        <w:tab w:val="left" w:pos="750"/>
      </w:tabs>
      <w:ind w:left="750" w:hanging="750"/>
    </w:pPr>
    <w:rPr>
      <w:sz w:val="24"/>
      <w:szCs w:val="24"/>
    </w:rPr>
  </w:style>
  <w:style w:type="paragraph" w:customStyle="1" w:styleId="774">
    <w:name w:val="Char Char Char Char Char Char Char Char Char Char Char Char Char Char Char1 Char1"/>
    <w:basedOn w:val="1"/>
    <w:qFormat/>
    <w:uiPriority w:val="0"/>
    <w:pPr>
      <w:tabs>
        <w:tab w:val="left" w:pos="750"/>
      </w:tabs>
      <w:ind w:left="750" w:hanging="750"/>
    </w:pPr>
    <w:rPr>
      <w:sz w:val="24"/>
      <w:szCs w:val="24"/>
    </w:rPr>
  </w:style>
  <w:style w:type="paragraph" w:customStyle="1" w:styleId="775">
    <w:name w:val="Char Char Char Char Char Char Char Char Char Char Char Char Char Char Char1"/>
    <w:basedOn w:val="1"/>
    <w:qFormat/>
    <w:uiPriority w:val="0"/>
    <w:pPr>
      <w:tabs>
        <w:tab w:val="left" w:pos="750"/>
      </w:tabs>
      <w:ind w:left="750" w:hanging="750"/>
    </w:pPr>
    <w:rPr>
      <w:sz w:val="24"/>
      <w:szCs w:val="24"/>
    </w:rPr>
  </w:style>
  <w:style w:type="paragraph" w:customStyle="1" w:styleId="776">
    <w:name w:val="Char Char Char Char Char Char1 Char Char Char Char1"/>
    <w:basedOn w:val="1"/>
    <w:qFormat/>
    <w:uiPriority w:val="0"/>
    <w:pPr>
      <w:spacing w:line="360" w:lineRule="auto"/>
      <w:jc w:val="left"/>
    </w:pPr>
    <w:rPr>
      <w:rFonts w:eastAsia="仿宋_GB2312"/>
      <w:b/>
      <w:sz w:val="32"/>
      <w:szCs w:val="24"/>
    </w:rPr>
  </w:style>
  <w:style w:type="paragraph" w:customStyle="1" w:styleId="777">
    <w:name w:val="Char Char Char Char Char Char Char Char Char Char Char Char Char Char Char Char Char Char Char Char Char Char Char Char Char Char1"/>
    <w:basedOn w:val="1"/>
    <w:qFormat/>
    <w:uiPriority w:val="0"/>
    <w:pPr>
      <w:spacing w:line="360" w:lineRule="auto"/>
      <w:jc w:val="left"/>
    </w:pPr>
    <w:rPr>
      <w:rFonts w:eastAsia="仿宋_GB2312"/>
      <w:b/>
      <w:sz w:val="32"/>
      <w:szCs w:val="24"/>
    </w:rPr>
  </w:style>
  <w:style w:type="character" w:customStyle="1" w:styleId="778">
    <w:name w:val="标题2 Char"/>
    <w:link w:val="779"/>
    <w:qFormat/>
    <w:uiPriority w:val="0"/>
    <w:rPr>
      <w:rFonts w:ascii="黑体" w:hAnsi="Cambria" w:eastAsia="黑体"/>
      <w:b/>
      <w:bCs/>
      <w:sz w:val="28"/>
      <w:szCs w:val="28"/>
    </w:rPr>
  </w:style>
  <w:style w:type="paragraph" w:customStyle="1" w:styleId="779">
    <w:name w:val="标题2"/>
    <w:basedOn w:val="4"/>
    <w:next w:val="1"/>
    <w:link w:val="778"/>
    <w:qFormat/>
    <w:uiPriority w:val="0"/>
    <w:pPr>
      <w:tabs>
        <w:tab w:val="left" w:pos="720"/>
      </w:tabs>
      <w:spacing w:before="0" w:after="0" w:line="420" w:lineRule="exact"/>
      <w:ind w:left="0" w:firstLine="0"/>
      <w:jc w:val="left"/>
    </w:pPr>
    <w:rPr>
      <w:rFonts w:ascii="黑体" w:hAnsi="Cambria" w:eastAsia="黑体"/>
      <w:bCs/>
      <w:color w:val="auto"/>
      <w:kern w:val="0"/>
      <w:sz w:val="28"/>
      <w:szCs w:val="28"/>
    </w:rPr>
  </w:style>
  <w:style w:type="character" w:customStyle="1" w:styleId="780">
    <w:name w:val="无间隔 字符1"/>
    <w:link w:val="781"/>
    <w:qFormat/>
    <w:locked/>
    <w:uiPriority w:val="0"/>
    <w:rPr>
      <w:sz w:val="22"/>
    </w:rPr>
  </w:style>
  <w:style w:type="paragraph" w:styleId="781">
    <w:name w:val="No Spacing"/>
    <w:basedOn w:val="1"/>
    <w:link w:val="780"/>
    <w:qFormat/>
    <w:uiPriority w:val="0"/>
    <w:rPr>
      <w:kern w:val="0"/>
      <w:sz w:val="22"/>
    </w:rPr>
  </w:style>
  <w:style w:type="character" w:customStyle="1" w:styleId="782">
    <w:name w:val="样式ld2 Char"/>
    <w:link w:val="783"/>
    <w:qFormat/>
    <w:locked/>
    <w:uiPriority w:val="0"/>
    <w:rPr>
      <w:color w:val="000000"/>
      <w:sz w:val="28"/>
      <w:szCs w:val="28"/>
    </w:rPr>
  </w:style>
  <w:style w:type="paragraph" w:customStyle="1" w:styleId="783">
    <w:name w:val="样式ld2"/>
    <w:basedOn w:val="1"/>
    <w:link w:val="782"/>
    <w:qFormat/>
    <w:uiPriority w:val="0"/>
    <w:pPr>
      <w:spacing w:line="360" w:lineRule="auto"/>
      <w:ind w:left="-424" w:leftChars="-202"/>
    </w:pPr>
    <w:rPr>
      <w:color w:val="000000"/>
      <w:kern w:val="0"/>
      <w:sz w:val="28"/>
      <w:szCs w:val="28"/>
    </w:rPr>
  </w:style>
  <w:style w:type="character" w:customStyle="1" w:styleId="784">
    <w:name w:val="标题3 Char"/>
    <w:link w:val="785"/>
    <w:qFormat/>
    <w:uiPriority w:val="0"/>
    <w:rPr>
      <w:b/>
      <w:bCs/>
      <w:sz w:val="28"/>
      <w:szCs w:val="28"/>
    </w:rPr>
  </w:style>
  <w:style w:type="paragraph" w:customStyle="1" w:styleId="785">
    <w:name w:val="标题3"/>
    <w:basedOn w:val="6"/>
    <w:link w:val="784"/>
    <w:qFormat/>
    <w:uiPriority w:val="0"/>
    <w:pPr>
      <w:tabs>
        <w:tab w:val="left" w:pos="720"/>
      </w:tabs>
      <w:spacing w:before="0" w:after="0" w:line="480" w:lineRule="exact"/>
      <w:ind w:left="720" w:hanging="432"/>
      <w:jc w:val="left"/>
    </w:pPr>
    <w:rPr>
      <w:kern w:val="0"/>
      <w:sz w:val="28"/>
      <w:szCs w:val="28"/>
    </w:rPr>
  </w:style>
  <w:style w:type="character" w:customStyle="1" w:styleId="786">
    <w:name w:val="样式LD Char"/>
    <w:link w:val="787"/>
    <w:qFormat/>
    <w:locked/>
    <w:uiPriority w:val="0"/>
    <w:rPr>
      <w:rFonts w:ascii="宋体" w:hAnsi="宋体"/>
      <w:sz w:val="24"/>
      <w:szCs w:val="24"/>
    </w:rPr>
  </w:style>
  <w:style w:type="paragraph" w:customStyle="1" w:styleId="787">
    <w:name w:val="样式LD"/>
    <w:basedOn w:val="1"/>
    <w:link w:val="786"/>
    <w:qFormat/>
    <w:uiPriority w:val="0"/>
    <w:pPr>
      <w:spacing w:line="360" w:lineRule="auto"/>
      <w:ind w:left="424" w:leftChars="202"/>
    </w:pPr>
    <w:rPr>
      <w:rFonts w:ascii="宋体" w:hAnsi="宋体"/>
      <w:kern w:val="0"/>
      <w:sz w:val="24"/>
      <w:szCs w:val="24"/>
    </w:rPr>
  </w:style>
  <w:style w:type="character" w:customStyle="1" w:styleId="788">
    <w:name w:val="样式ld1 Char"/>
    <w:link w:val="789"/>
    <w:qFormat/>
    <w:locked/>
    <w:uiPriority w:val="0"/>
    <w:rPr>
      <w:b/>
      <w:color w:val="000000"/>
      <w:sz w:val="28"/>
      <w:szCs w:val="28"/>
    </w:rPr>
  </w:style>
  <w:style w:type="paragraph" w:customStyle="1" w:styleId="789">
    <w:name w:val="样式ld1"/>
    <w:basedOn w:val="1"/>
    <w:link w:val="788"/>
    <w:qFormat/>
    <w:uiPriority w:val="0"/>
    <w:pPr>
      <w:spacing w:line="360" w:lineRule="auto"/>
      <w:ind w:left="-426" w:leftChars="-203"/>
    </w:pPr>
    <w:rPr>
      <w:b/>
      <w:color w:val="000000"/>
      <w:kern w:val="0"/>
      <w:sz w:val="28"/>
      <w:szCs w:val="28"/>
    </w:rPr>
  </w:style>
  <w:style w:type="character" w:customStyle="1" w:styleId="790">
    <w:name w:val="明显引用 字符1"/>
    <w:link w:val="791"/>
    <w:qFormat/>
    <w:uiPriority w:val="0"/>
    <w:rPr>
      <w:b/>
      <w:bCs/>
      <w:i/>
      <w:iCs/>
      <w:color w:val="4F81BD"/>
    </w:rPr>
  </w:style>
  <w:style w:type="paragraph" w:styleId="791">
    <w:name w:val="Intense Quote"/>
    <w:basedOn w:val="1"/>
    <w:next w:val="1"/>
    <w:link w:val="790"/>
    <w:qFormat/>
    <w:uiPriority w:val="0"/>
    <w:pPr>
      <w:pBdr>
        <w:bottom w:val="single" w:color="4F81BD" w:sz="4" w:space="4"/>
      </w:pBdr>
      <w:spacing w:before="200" w:after="280"/>
      <w:ind w:left="936" w:right="936"/>
    </w:pPr>
    <w:rPr>
      <w:b/>
      <w:bCs/>
      <w:i/>
      <w:iCs/>
      <w:color w:val="4F81BD"/>
      <w:kern w:val="0"/>
      <w:sz w:val="20"/>
    </w:rPr>
  </w:style>
  <w:style w:type="character" w:customStyle="1" w:styleId="792">
    <w:name w:val="明显引用 Char2"/>
    <w:basedOn w:val="64"/>
    <w:qFormat/>
    <w:uiPriority w:val="99"/>
    <w:rPr>
      <w:i/>
      <w:iCs/>
      <w:color w:val="4F81BD" w:themeColor="accent1"/>
      <w:kern w:val="2"/>
      <w:sz w:val="21"/>
      <w14:textFill>
        <w14:solidFill>
          <w14:schemeClr w14:val="accent1"/>
        </w14:solidFill>
      </w14:textFill>
    </w:rPr>
  </w:style>
  <w:style w:type="character" w:customStyle="1" w:styleId="793">
    <w:name w:val="标题4 Char Char"/>
    <w:link w:val="794"/>
    <w:qFormat/>
    <w:uiPriority w:val="0"/>
    <w:rPr>
      <w:rFonts w:ascii="Arial" w:hAnsi="Arial"/>
      <w:b/>
      <w:bCs/>
      <w:sz w:val="24"/>
      <w:szCs w:val="32"/>
    </w:rPr>
  </w:style>
  <w:style w:type="paragraph" w:customStyle="1" w:styleId="794">
    <w:name w:val="标题4"/>
    <w:basedOn w:val="4"/>
    <w:next w:val="30"/>
    <w:link w:val="793"/>
    <w:qFormat/>
    <w:uiPriority w:val="0"/>
    <w:pPr>
      <w:spacing w:before="260" w:after="260" w:line="413" w:lineRule="auto"/>
      <w:ind w:left="0" w:firstLine="0"/>
      <w:jc w:val="both"/>
    </w:pPr>
    <w:rPr>
      <w:bCs/>
      <w:color w:val="auto"/>
      <w:kern w:val="0"/>
      <w:szCs w:val="32"/>
    </w:rPr>
  </w:style>
  <w:style w:type="character" w:customStyle="1" w:styleId="795">
    <w:name w:val="标题5 Char Char"/>
    <w:link w:val="796"/>
    <w:qFormat/>
    <w:uiPriority w:val="0"/>
    <w:rPr>
      <w:rFonts w:ascii="Arial" w:hAnsi="Arial"/>
      <w:b/>
      <w:bCs/>
      <w:sz w:val="24"/>
      <w:szCs w:val="32"/>
    </w:rPr>
  </w:style>
  <w:style w:type="paragraph" w:customStyle="1" w:styleId="796">
    <w:name w:val="标题5"/>
    <w:basedOn w:val="6"/>
    <w:link w:val="795"/>
    <w:qFormat/>
    <w:uiPriority w:val="0"/>
    <w:rPr>
      <w:rFonts w:ascii="Arial" w:hAnsi="Arial"/>
      <w:kern w:val="0"/>
      <w:sz w:val="24"/>
    </w:rPr>
  </w:style>
  <w:style w:type="character" w:customStyle="1" w:styleId="797">
    <w:name w:val="引用 字符1"/>
    <w:link w:val="798"/>
    <w:qFormat/>
    <w:uiPriority w:val="0"/>
    <w:rPr>
      <w:i/>
      <w:iCs/>
      <w:color w:val="000000"/>
    </w:rPr>
  </w:style>
  <w:style w:type="paragraph" w:styleId="798">
    <w:name w:val="Quote"/>
    <w:basedOn w:val="1"/>
    <w:next w:val="1"/>
    <w:link w:val="797"/>
    <w:qFormat/>
    <w:uiPriority w:val="0"/>
    <w:rPr>
      <w:i/>
      <w:iCs/>
      <w:color w:val="000000"/>
      <w:kern w:val="0"/>
      <w:sz w:val="20"/>
    </w:rPr>
  </w:style>
  <w:style w:type="character" w:customStyle="1" w:styleId="799">
    <w:name w:val="引用 Char2"/>
    <w:basedOn w:val="64"/>
    <w:qFormat/>
    <w:uiPriority w:val="99"/>
    <w:rPr>
      <w:i/>
      <w:iCs/>
      <w:color w:val="404040" w:themeColor="text1" w:themeTint="BF"/>
      <w:kern w:val="2"/>
      <w:sz w:val="21"/>
      <w14:textFill>
        <w14:solidFill>
          <w14:schemeClr w14:val="tx1">
            <w14:lumMod w14:val="75000"/>
            <w14:lumOff w14:val="25000"/>
          </w14:schemeClr>
        </w14:solidFill>
      </w14:textFill>
    </w:rPr>
  </w:style>
  <w:style w:type="character" w:customStyle="1" w:styleId="800">
    <w:name w:val="@他11"/>
    <w:basedOn w:val="64"/>
    <w:unhideWhenUsed/>
    <w:qFormat/>
    <w:uiPriority w:val="99"/>
    <w:rPr>
      <w:color w:val="2B579A"/>
      <w:shd w:val="clear" w:color="auto" w:fill="E6E6E6"/>
    </w:rPr>
  </w:style>
  <w:style w:type="paragraph" w:customStyle="1" w:styleId="801">
    <w:name w:val="Table Paragraph"/>
    <w:basedOn w:val="1"/>
    <w:qFormat/>
    <w:uiPriority w:val="1"/>
    <w:pPr>
      <w:autoSpaceDE w:val="0"/>
      <w:autoSpaceDN w:val="0"/>
      <w:jc w:val="left"/>
    </w:pPr>
    <w:rPr>
      <w:rFonts w:ascii="宋体" w:hAnsi="宋体" w:cs="宋体"/>
      <w:kern w:val="0"/>
      <w:sz w:val="22"/>
      <w:szCs w:val="22"/>
      <w:lang w:val="zh-CN" w:bidi="zh-CN"/>
    </w:rPr>
  </w:style>
  <w:style w:type="character" w:customStyle="1" w:styleId="802">
    <w:name w:val="未处理的提及1"/>
    <w:basedOn w:val="64"/>
    <w:semiHidden/>
    <w:unhideWhenUsed/>
    <w:qFormat/>
    <w:uiPriority w:val="99"/>
    <w:rPr>
      <w:color w:val="605E5C"/>
      <w:shd w:val="clear" w:color="auto" w:fill="E1DFDD"/>
    </w:rPr>
  </w:style>
  <w:style w:type="paragraph" w:customStyle="1" w:styleId="803">
    <w:name w:val="修订7"/>
    <w:hidden/>
    <w:semiHidden/>
    <w:qFormat/>
    <w:uiPriority w:val="99"/>
    <w:rPr>
      <w:rFonts w:ascii="Times New Roman" w:hAnsi="Times New Roman" w:eastAsia="宋体" w:cs="Times New Roman"/>
      <w:kern w:val="2"/>
      <w:sz w:val="21"/>
      <w:lang w:val="en-US" w:eastAsia="zh-CN" w:bidi="ar-SA"/>
    </w:rPr>
  </w:style>
  <w:style w:type="character" w:customStyle="1" w:styleId="804">
    <w:name w:val="标题 3 Char"/>
    <w:qFormat/>
    <w:uiPriority w:val="0"/>
    <w:rPr>
      <w:rFonts w:ascii="宋体" w:hAnsi="宋体" w:eastAsia="宋体" w:cs="宋体"/>
      <w:kern w:val="0"/>
      <w:sz w:val="27"/>
      <w:szCs w:val="27"/>
    </w:rPr>
  </w:style>
  <w:style w:type="character" w:customStyle="1" w:styleId="805">
    <w:name w:val="页脚 Char"/>
    <w:qFormat/>
    <w:uiPriority w:val="0"/>
    <w:rPr>
      <w:rFonts w:ascii="Calibri" w:hAnsi="Calibri" w:eastAsia="宋体" w:cs="Times New Roman"/>
      <w:sz w:val="18"/>
      <w:szCs w:val="18"/>
    </w:rPr>
  </w:style>
  <w:style w:type="character" w:customStyle="1" w:styleId="806">
    <w:name w:val="标题 2 Char"/>
    <w:qFormat/>
    <w:uiPriority w:val="0"/>
    <w:rPr>
      <w:rFonts w:ascii="Arial" w:hAnsi="Arial" w:eastAsia="宋体" w:cs="Times New Roman"/>
      <w:b/>
      <w:color w:val="000000"/>
      <w:sz w:val="24"/>
      <w:szCs w:val="24"/>
    </w:rPr>
  </w:style>
  <w:style w:type="character" w:customStyle="1" w:styleId="807">
    <w:name w:val="标题 4 Char"/>
    <w:qFormat/>
    <w:uiPriority w:val="0"/>
    <w:rPr>
      <w:rFonts w:ascii="Arial" w:hAnsi="Arial" w:eastAsia="宋体"/>
      <w:color w:val="000000"/>
      <w:kern w:val="2"/>
      <w:sz w:val="21"/>
      <w:szCs w:val="21"/>
    </w:rPr>
  </w:style>
  <w:style w:type="character" w:customStyle="1" w:styleId="808">
    <w:name w:val="标题 5 Char"/>
    <w:qFormat/>
    <w:uiPriority w:val="0"/>
    <w:rPr>
      <w:rFonts w:ascii="Arial" w:hAnsi="Arial" w:eastAsia="宋体"/>
      <w:color w:val="000000"/>
      <w:kern w:val="2"/>
      <w:sz w:val="21"/>
      <w:szCs w:val="21"/>
    </w:rPr>
  </w:style>
  <w:style w:type="character" w:customStyle="1" w:styleId="809">
    <w:name w:val="标题 6 Char"/>
    <w:qFormat/>
    <w:uiPriority w:val="0"/>
    <w:rPr>
      <w:rFonts w:ascii="Arial" w:hAnsi="Arial" w:eastAsia="黑体"/>
      <w:b/>
      <w:bCs/>
      <w:kern w:val="2"/>
      <w:sz w:val="24"/>
      <w:szCs w:val="24"/>
    </w:rPr>
  </w:style>
  <w:style w:type="character" w:customStyle="1" w:styleId="810">
    <w:name w:val="标题 7 Char"/>
    <w:qFormat/>
    <w:uiPriority w:val="0"/>
    <w:rPr>
      <w:rFonts w:ascii="Times New Roman" w:hAnsi="Times New Roman" w:eastAsia="宋体"/>
      <w:b/>
      <w:kern w:val="2"/>
      <w:sz w:val="24"/>
    </w:rPr>
  </w:style>
  <w:style w:type="character" w:customStyle="1" w:styleId="811">
    <w:name w:val="标题 8 Char"/>
    <w:qFormat/>
    <w:uiPriority w:val="0"/>
    <w:rPr>
      <w:rFonts w:ascii="Arial" w:hAnsi="Arial" w:eastAsia="黑体"/>
      <w:kern w:val="2"/>
      <w:sz w:val="24"/>
    </w:rPr>
  </w:style>
  <w:style w:type="character" w:customStyle="1" w:styleId="812">
    <w:name w:val="标题 9 Char"/>
    <w:qFormat/>
    <w:uiPriority w:val="0"/>
    <w:rPr>
      <w:rFonts w:ascii="Arial" w:hAnsi="Arial" w:eastAsia="黑体"/>
      <w:kern w:val="2"/>
      <w:sz w:val="21"/>
    </w:rPr>
  </w:style>
  <w:style w:type="character" w:customStyle="1" w:styleId="813">
    <w:name w:val="正文文本 Char"/>
    <w:qFormat/>
    <w:uiPriority w:val="0"/>
    <w:rPr>
      <w:rFonts w:ascii="Times New Roman" w:hAnsi="Times New Roman" w:eastAsia="宋体" w:cs="Times New Roman"/>
      <w:szCs w:val="20"/>
    </w:rPr>
  </w:style>
  <w:style w:type="paragraph" w:customStyle="1" w:styleId="814">
    <w:name w:val="_Style 813"/>
    <w:basedOn w:val="1"/>
    <w:next w:val="720"/>
    <w:link w:val="815"/>
    <w:qFormat/>
    <w:uiPriority w:val="0"/>
    <w:pPr>
      <w:ind w:firstLine="420" w:firstLineChars="200"/>
    </w:pPr>
    <w:rPr>
      <w:kern w:val="0"/>
      <w:sz w:val="20"/>
    </w:rPr>
  </w:style>
  <w:style w:type="character" w:customStyle="1" w:styleId="815">
    <w:name w:val="正文首行缩进 Char"/>
    <w:link w:val="814"/>
    <w:qFormat/>
    <w:uiPriority w:val="0"/>
  </w:style>
  <w:style w:type="character" w:customStyle="1" w:styleId="816">
    <w:name w:val="正文首行缩进 字符"/>
    <w:basedOn w:val="75"/>
    <w:semiHidden/>
    <w:qFormat/>
    <w:uiPriority w:val="99"/>
    <w:rPr>
      <w:rFonts w:ascii="Calibri" w:hAnsi="Calibri" w:eastAsia="宋体" w:cs="Times New Roman"/>
      <w:kern w:val="2"/>
      <w:sz w:val="21"/>
    </w:rPr>
  </w:style>
  <w:style w:type="character" w:customStyle="1" w:styleId="817">
    <w:name w:val="日期 Char"/>
    <w:qFormat/>
    <w:uiPriority w:val="0"/>
    <w:rPr>
      <w:rFonts w:ascii="Times New Roman" w:hAnsi="Times New Roman" w:eastAsia="宋体" w:cs="Times New Roman"/>
      <w:szCs w:val="20"/>
    </w:rPr>
  </w:style>
  <w:style w:type="character" w:customStyle="1" w:styleId="818">
    <w:name w:val="正文文本缩进 Char"/>
    <w:qFormat/>
    <w:uiPriority w:val="0"/>
    <w:rPr>
      <w:rFonts w:ascii="Times New Roman" w:hAnsi="Times New Roman" w:eastAsia="宋体" w:cs="Times New Roman"/>
      <w:sz w:val="28"/>
      <w:szCs w:val="20"/>
    </w:rPr>
  </w:style>
  <w:style w:type="character" w:customStyle="1" w:styleId="819">
    <w:name w:val="文档结构图 Char"/>
    <w:qFormat/>
    <w:uiPriority w:val="0"/>
    <w:rPr>
      <w:rFonts w:ascii="Times New Roman" w:hAnsi="Times New Roman" w:eastAsia="宋体" w:cs="Times New Roman"/>
      <w:szCs w:val="20"/>
      <w:shd w:val="clear" w:color="auto" w:fill="000080"/>
    </w:rPr>
  </w:style>
  <w:style w:type="character" w:customStyle="1" w:styleId="820">
    <w:name w:val="正文文本缩进 2 Char"/>
    <w:qFormat/>
    <w:uiPriority w:val="0"/>
    <w:rPr>
      <w:rFonts w:ascii="Times New Roman" w:hAnsi="Times New Roman" w:eastAsia="宋体" w:cs="Times New Roman"/>
      <w:color w:val="000000"/>
      <w:sz w:val="24"/>
      <w:szCs w:val="20"/>
    </w:rPr>
  </w:style>
  <w:style w:type="character" w:customStyle="1" w:styleId="821">
    <w:name w:val="正文文本缩进 3 Char"/>
    <w:qFormat/>
    <w:uiPriority w:val="0"/>
    <w:rPr>
      <w:rFonts w:ascii="Times New Roman" w:hAnsi="Times New Roman" w:eastAsia="宋体" w:cs="Times New Roman"/>
      <w:color w:val="000000"/>
      <w:sz w:val="24"/>
      <w:szCs w:val="20"/>
    </w:rPr>
  </w:style>
  <w:style w:type="character" w:customStyle="1" w:styleId="822">
    <w:name w:val="正文文本 2 Char"/>
    <w:qFormat/>
    <w:uiPriority w:val="0"/>
    <w:rPr>
      <w:rFonts w:ascii="宋体" w:hAnsi="宋体" w:eastAsia="宋体" w:cs="Times New Roman"/>
      <w:szCs w:val="24"/>
      <w:u w:val="single"/>
    </w:rPr>
  </w:style>
  <w:style w:type="character" w:customStyle="1" w:styleId="823">
    <w:name w:val="尾注文本 Char"/>
    <w:qFormat/>
    <w:uiPriority w:val="0"/>
    <w:rPr>
      <w:rFonts w:ascii="Times New Roman" w:hAnsi="Times New Roman" w:eastAsia="宋体" w:cs="Times New Roman"/>
      <w:szCs w:val="20"/>
    </w:rPr>
  </w:style>
  <w:style w:type="table" w:customStyle="1" w:styleId="824">
    <w:name w:val="网格型1"/>
    <w:basedOn w:val="6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25">
    <w:name w:val="批注框文本 Char"/>
    <w:qFormat/>
    <w:uiPriority w:val="0"/>
    <w:rPr>
      <w:rFonts w:ascii="Times New Roman" w:hAnsi="Times New Roman" w:eastAsia="宋体" w:cs="Times New Roman"/>
      <w:sz w:val="18"/>
      <w:szCs w:val="18"/>
    </w:rPr>
  </w:style>
  <w:style w:type="paragraph" w:customStyle="1" w:styleId="826">
    <w:name w:val="TOC 标题2"/>
    <w:basedOn w:val="3"/>
    <w:next w:val="1"/>
    <w:semiHidden/>
    <w:unhideWhenUsed/>
    <w:qFormat/>
    <w:uiPriority w:val="39"/>
    <w:pPr>
      <w:widowControl/>
      <w:spacing w:before="480" w:after="0" w:line="276" w:lineRule="auto"/>
      <w:outlineLvl w:val="9"/>
    </w:pPr>
    <w:rPr>
      <w:rFonts w:ascii="Cambria" w:hAnsi="Cambria"/>
      <w:color w:val="365F91"/>
      <w:kern w:val="0"/>
    </w:rPr>
  </w:style>
  <w:style w:type="character" w:customStyle="1" w:styleId="827">
    <w:name w:val="批注文字 Char"/>
    <w:qFormat/>
    <w:uiPriority w:val="0"/>
    <w:rPr>
      <w:rFonts w:ascii="宋体" w:hAnsi="宋体" w:eastAsia="宋体" w:cs="Times New Roman"/>
      <w:sz w:val="24"/>
      <w:szCs w:val="24"/>
    </w:rPr>
  </w:style>
  <w:style w:type="character" w:customStyle="1" w:styleId="828">
    <w:name w:val="脚注文本 Char"/>
    <w:qFormat/>
    <w:uiPriority w:val="0"/>
    <w:rPr>
      <w:rFonts w:ascii="宋体" w:hAnsi="宋体" w:eastAsia="宋体" w:cs="Times New Roman"/>
      <w:sz w:val="18"/>
      <w:szCs w:val="18"/>
    </w:rPr>
  </w:style>
  <w:style w:type="character" w:customStyle="1" w:styleId="829">
    <w:name w:val="批注主题 Char"/>
    <w:qFormat/>
    <w:uiPriority w:val="0"/>
    <w:rPr>
      <w:rFonts w:ascii="宋体" w:hAnsi="宋体" w:eastAsia="宋体" w:cs="Times New Roman"/>
      <w:b/>
      <w:bCs/>
      <w:sz w:val="24"/>
      <w:szCs w:val="24"/>
    </w:rPr>
  </w:style>
  <w:style w:type="paragraph" w:customStyle="1" w:styleId="830">
    <w:name w:val="修订8"/>
    <w:hidden/>
    <w:semiHidden/>
    <w:qFormat/>
    <w:uiPriority w:val="99"/>
    <w:rPr>
      <w:rFonts w:ascii="Times New Roman" w:hAnsi="Times New Roman" w:eastAsia="宋体" w:cs="Times New Roman"/>
      <w:kern w:val="2"/>
      <w:sz w:val="21"/>
      <w:lang w:val="en-US" w:eastAsia="zh-CN" w:bidi="ar-SA"/>
    </w:rPr>
  </w:style>
  <w:style w:type="paragraph" w:customStyle="1" w:styleId="831">
    <w:name w:val="TOC 标题3"/>
    <w:basedOn w:val="3"/>
    <w:next w:val="1"/>
    <w:unhideWhenUsed/>
    <w:qFormat/>
    <w:uiPriority w:val="39"/>
    <w:pPr>
      <w:widowControl/>
      <w:spacing w:before="240" w:after="0" w:line="259" w:lineRule="auto"/>
      <w:jc w:val="left"/>
      <w:outlineLvl w:val="9"/>
    </w:pPr>
    <w:rPr>
      <w:rFonts w:asciiTheme="majorHAnsi" w:hAnsiTheme="majorHAnsi" w:eastAsiaTheme="majorEastAsia" w:cstheme="majorBidi"/>
      <w:color w:val="376092" w:themeColor="accent1" w:themeShade="BF"/>
      <w:kern w:val="0"/>
      <w:sz w:val="32"/>
      <w:szCs w:val="32"/>
    </w:rPr>
  </w:style>
  <w:style w:type="paragraph" w:customStyle="1" w:styleId="832">
    <w:name w:val="修订9"/>
    <w:hidden/>
    <w:semiHidden/>
    <w:qFormat/>
    <w:uiPriority w:val="99"/>
    <w:rPr>
      <w:rFonts w:ascii="Times New Roman" w:hAnsi="Times New Roman" w:eastAsia="宋体" w:cs="Times New Roman"/>
      <w:kern w:val="2"/>
      <w:sz w:val="21"/>
      <w:lang w:val="en-US" w:eastAsia="zh-CN" w:bidi="ar-SA"/>
    </w:rPr>
  </w:style>
  <w:style w:type="paragraph" w:customStyle="1" w:styleId="833">
    <w:name w:val="_Style 10"/>
    <w:basedOn w:val="3"/>
    <w:next w:val="1"/>
    <w:qFormat/>
    <w:uiPriority w:val="39"/>
    <w:pPr>
      <w:widowControl/>
      <w:spacing w:before="480" w:after="0" w:line="276" w:lineRule="auto"/>
      <w:jc w:val="left"/>
      <w:outlineLvl w:val="9"/>
    </w:pPr>
    <w:rPr>
      <w:rFonts w:ascii="Cambria" w:hAnsi="Cambria"/>
      <w:bCs/>
      <w:color w:val="365F91"/>
      <w:kern w:val="0"/>
    </w:rPr>
  </w:style>
  <w:style w:type="character" w:customStyle="1" w:styleId="834">
    <w:name w:val="font11"/>
    <w:basedOn w:val="64"/>
    <w:qFormat/>
    <w:uiPriority w:val="0"/>
    <w:rPr>
      <w:rFonts w:hint="eastAsia" w:ascii="宋体" w:hAnsi="宋体" w:eastAsia="宋体" w:cs="宋体"/>
      <w:color w:val="000000"/>
      <w:sz w:val="20"/>
      <w:szCs w:val="20"/>
      <w:u w:val="none"/>
    </w:rPr>
  </w:style>
  <w:style w:type="paragraph" w:customStyle="1" w:styleId="835">
    <w:name w:val="修订10"/>
    <w:hidden/>
    <w:semiHidden/>
    <w:qFormat/>
    <w:uiPriority w:val="99"/>
    <w:rPr>
      <w:rFonts w:ascii="Times New Roman" w:hAnsi="Times New Roman" w:eastAsia="宋体" w:cs="Times New Roman"/>
      <w:kern w:val="2"/>
      <w:sz w:val="21"/>
      <w:lang w:val="en-US" w:eastAsia="zh-CN" w:bidi="ar-SA"/>
    </w:rPr>
  </w:style>
  <w:style w:type="character" w:customStyle="1" w:styleId="836">
    <w:name w:val="样式1 Char Char"/>
    <w:link w:val="122"/>
    <w:qFormat/>
    <w:uiPriority w:val="0"/>
    <w:rPr>
      <w:rFonts w:ascii="宋体" w:hAnsi="宋体"/>
      <w:b/>
      <w:kern w:val="2"/>
      <w:sz w:val="24"/>
    </w:rPr>
  </w:style>
  <w:style w:type="paragraph" w:customStyle="1" w:styleId="837">
    <w:name w:val="_Style 836"/>
    <w:basedOn w:val="1"/>
    <w:next w:val="720"/>
    <w:qFormat/>
    <w:uiPriority w:val="34"/>
    <w:pPr>
      <w:ind w:firstLine="420" w:firstLineChars="200"/>
    </w:pPr>
    <w:rPr>
      <w:rFonts w:ascii="Calibri" w:hAnsi="Calibri"/>
      <w:szCs w:val="22"/>
    </w:rPr>
  </w:style>
  <w:style w:type="paragraph" w:customStyle="1" w:styleId="838">
    <w:name w:val="Revision"/>
    <w:hidden/>
    <w:semiHidden/>
    <w:uiPriority w:val="99"/>
    <w:rPr>
      <w:rFonts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header" Target="header4.xml"/><Relationship Id="rId68" Type="http://schemas.openxmlformats.org/officeDocument/2006/relationships/fontTable" Target="fontTable.xml"/><Relationship Id="rId67" Type="http://schemas.openxmlformats.org/officeDocument/2006/relationships/customXml" Target="../customXml/item2.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55.emf"/><Relationship Id="rId63" Type="http://schemas.openxmlformats.org/officeDocument/2006/relationships/image" Target="media/image54.emf"/><Relationship Id="rId62" Type="http://schemas.openxmlformats.org/officeDocument/2006/relationships/image" Target="media/image53.emf"/><Relationship Id="rId61" Type="http://schemas.openxmlformats.org/officeDocument/2006/relationships/image" Target="media/image52.emf"/><Relationship Id="rId60" Type="http://schemas.openxmlformats.org/officeDocument/2006/relationships/image" Target="media/image51.emf"/><Relationship Id="rId6" Type="http://schemas.openxmlformats.org/officeDocument/2006/relationships/header" Target="header3.xml"/><Relationship Id="rId59" Type="http://schemas.openxmlformats.org/officeDocument/2006/relationships/image" Target="media/image50.emf"/><Relationship Id="rId58" Type="http://schemas.openxmlformats.org/officeDocument/2006/relationships/image" Target="media/image49.emf"/><Relationship Id="rId57" Type="http://schemas.openxmlformats.org/officeDocument/2006/relationships/image" Target="media/image48.emf"/><Relationship Id="rId56" Type="http://schemas.openxmlformats.org/officeDocument/2006/relationships/image" Target="media/image47.emf"/><Relationship Id="rId55" Type="http://schemas.openxmlformats.org/officeDocument/2006/relationships/image" Target="media/image46.emf"/><Relationship Id="rId54" Type="http://schemas.openxmlformats.org/officeDocument/2006/relationships/image" Target="media/image45.emf"/><Relationship Id="rId53" Type="http://schemas.openxmlformats.org/officeDocument/2006/relationships/image" Target="media/image44.jpeg"/><Relationship Id="rId52" Type="http://schemas.openxmlformats.org/officeDocument/2006/relationships/image" Target="media/image43.jpeg"/><Relationship Id="rId51" Type="http://schemas.openxmlformats.org/officeDocument/2006/relationships/image" Target="media/image42.jpeg"/><Relationship Id="rId50" Type="http://schemas.openxmlformats.org/officeDocument/2006/relationships/image" Target="media/image41.jpeg"/><Relationship Id="rId5" Type="http://schemas.openxmlformats.org/officeDocument/2006/relationships/footer" Target="footer1.xml"/><Relationship Id="rId49" Type="http://schemas.openxmlformats.org/officeDocument/2006/relationships/image" Target="media/image40.jpeg"/><Relationship Id="rId48" Type="http://schemas.openxmlformats.org/officeDocument/2006/relationships/image" Target="media/image39.wmf"/><Relationship Id="rId47" Type="http://schemas.openxmlformats.org/officeDocument/2006/relationships/image" Target="media/image38.jpeg"/><Relationship Id="rId46" Type="http://schemas.openxmlformats.org/officeDocument/2006/relationships/image" Target="media/image37.wmf"/><Relationship Id="rId45" Type="http://schemas.openxmlformats.org/officeDocument/2006/relationships/image" Target="media/image36.jpeg"/><Relationship Id="rId44" Type="http://schemas.openxmlformats.org/officeDocument/2006/relationships/image" Target="media/image35.wmf"/><Relationship Id="rId43" Type="http://schemas.openxmlformats.org/officeDocument/2006/relationships/image" Target="media/image34.wmf"/><Relationship Id="rId42" Type="http://schemas.openxmlformats.org/officeDocument/2006/relationships/image" Target="media/image33.jpeg"/><Relationship Id="rId41" Type="http://schemas.openxmlformats.org/officeDocument/2006/relationships/image" Target="media/image32.wmf"/><Relationship Id="rId40" Type="http://schemas.openxmlformats.org/officeDocument/2006/relationships/image" Target="media/image31.wmf"/><Relationship Id="rId4" Type="http://schemas.openxmlformats.org/officeDocument/2006/relationships/header" Target="header2.xml"/><Relationship Id="rId39" Type="http://schemas.openxmlformats.org/officeDocument/2006/relationships/image" Target="media/image30.jpeg"/><Relationship Id="rId38" Type="http://schemas.openxmlformats.org/officeDocument/2006/relationships/image" Target="media/image29.jpeg"/><Relationship Id="rId37" Type="http://schemas.openxmlformats.org/officeDocument/2006/relationships/image" Target="media/image28.wmf"/><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wmf"/><Relationship Id="rId33" Type="http://schemas.openxmlformats.org/officeDocument/2006/relationships/image" Target="media/image24.jpeg"/><Relationship Id="rId32" Type="http://schemas.openxmlformats.org/officeDocument/2006/relationships/image" Target="media/image23.wmf"/><Relationship Id="rId31" Type="http://schemas.openxmlformats.org/officeDocument/2006/relationships/image" Target="media/image22.wmf"/><Relationship Id="rId30" Type="http://schemas.openxmlformats.org/officeDocument/2006/relationships/image" Target="media/image21.jpeg"/><Relationship Id="rId3" Type="http://schemas.openxmlformats.org/officeDocument/2006/relationships/header" Target="header1.xml"/><Relationship Id="rId29" Type="http://schemas.openxmlformats.org/officeDocument/2006/relationships/image" Target="media/image20.jpeg"/><Relationship Id="rId28" Type="http://schemas.openxmlformats.org/officeDocument/2006/relationships/image" Target="media/image19.wmf"/><Relationship Id="rId27" Type="http://schemas.openxmlformats.org/officeDocument/2006/relationships/image" Target="media/image18.jpeg"/><Relationship Id="rId26" Type="http://schemas.openxmlformats.org/officeDocument/2006/relationships/image" Target="media/image17.wmf"/><Relationship Id="rId25" Type="http://schemas.openxmlformats.org/officeDocument/2006/relationships/image" Target="media/image16.wmf"/><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wmf"/><Relationship Id="rId21" Type="http://schemas.openxmlformats.org/officeDocument/2006/relationships/image" Target="media/image12.wmf"/><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wmf"/><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png"/><Relationship Id="rId11" Type="http://schemas.openxmlformats.org/officeDocument/2006/relationships/image" Target="../NULL"/><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F3D9CA-3EF7-4E1A-BD95-DA74EF962FD9}">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68</Pages>
  <Words>40129</Words>
  <Characters>41588</Characters>
  <Lines>311</Lines>
  <Paragraphs>87</Paragraphs>
  <TotalTime>22</TotalTime>
  <ScaleCrop>false</ScaleCrop>
  <LinksUpToDate>false</LinksUpToDate>
  <CharactersWithSpaces>41845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2020-01-17T15:03:00Z</dcterms:created>
  <dc:creator>ga0002</dc:creator>
  <cp:lastModifiedBy>海庆</cp:lastModifiedBy>
  <cp:lastPrinted>2019-09-08T12:08:00Z</cp:lastPrinted>
  <dcterms:modified xsi:type="dcterms:W3CDTF">2023-07-13T03:49:20Z</dcterms:modified>
  <dc:title>投标邀请书</dc:title>
  <cp:revision>138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528DE45A2809430BBE08345AFD449814_13</vt:lpwstr>
  </property>
</Properties>
</file>